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D9FEC5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F048B9">
        <w:rPr>
          <w:bCs/>
          <w:noProof w:val="0"/>
          <w:sz w:val="24"/>
          <w:szCs w:val="24"/>
        </w:rPr>
        <w:t>1058</w:t>
      </w:r>
    </w:p>
    <w:p w14:paraId="11776FA6" w14:textId="07A48DA0"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16D300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1A0C">
        <w:rPr>
          <w:rFonts w:cs="Arial"/>
          <w:b/>
          <w:bCs/>
          <w:sz w:val="24"/>
        </w:rPr>
        <w:t>8.17.2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8E4940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42D61">
        <w:rPr>
          <w:rFonts w:ascii="Arial" w:hAnsi="Arial" w:cs="Arial"/>
          <w:b/>
          <w:bCs/>
          <w:sz w:val="24"/>
        </w:rPr>
        <w:t xml:space="preserve">Discussion on </w:t>
      </w:r>
      <w:r w:rsidR="00AA317D">
        <w:rPr>
          <w:rFonts w:ascii="Arial" w:hAnsi="Arial" w:cs="Arial"/>
          <w:b/>
          <w:bCs/>
          <w:sz w:val="24"/>
        </w:rPr>
        <w:t>MPE and mTRP</w:t>
      </w:r>
    </w:p>
    <w:p w14:paraId="1F147C23" w14:textId="0B9636F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42D61" w:rsidRPr="00642D61">
        <w:rPr>
          <w:rFonts w:ascii="Arial" w:hAnsi="Arial" w:cs="Arial"/>
          <w:b/>
          <w:bCs/>
          <w:sz w:val="24"/>
        </w:rPr>
        <w:t xml:space="preserve">NR_FeMIMO-Core </w:t>
      </w:r>
      <w:r>
        <w:rPr>
          <w:rFonts w:ascii="Arial" w:hAnsi="Arial" w:cs="Arial"/>
          <w:b/>
          <w:bCs/>
          <w:sz w:val="24"/>
        </w:rPr>
        <w:t xml:space="preserve">- Release </w:t>
      </w:r>
      <w:r w:rsidR="00642D6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E19CCDC" w:rsidR="007F2E08" w:rsidRDefault="00AA317D" w:rsidP="00A209D6">
      <w:r>
        <w:t>The email discussion [116e][086] discussed the main details of FeMIMO work, but didn't elabor</w:t>
      </w:r>
      <w:r w:rsidR="00642D61">
        <w:t>a</w:t>
      </w:r>
      <w:r>
        <w:t xml:space="preserve">te much on the mTRP-specific aspects, nor was there any discussion on RRC/MAC details of MPE. The running CR in </w:t>
      </w:r>
      <w:hyperlink r:id="rId13" w:history="1">
        <w:r w:rsidRPr="00DD0482">
          <w:rPr>
            <w:rStyle w:val="Hyperlink"/>
          </w:rPr>
          <w:t>R2-2200016</w:t>
        </w:r>
      </w:hyperlink>
      <w:r>
        <w:t xml:space="preserve"> does have </w:t>
      </w:r>
      <w:r w:rsidR="00642D61">
        <w:t xml:space="preserve">the basic MPE </w:t>
      </w:r>
      <w:r>
        <w:t>configuration aspects considered</w:t>
      </w:r>
      <w:r w:rsidR="003D412A">
        <w:t xml:space="preserve"> (see Annex A)</w:t>
      </w:r>
      <w:r>
        <w:t xml:space="preserve">, but most were never discussed or commented to as the discussion focused on high-level details first. </w:t>
      </w:r>
      <w:r w:rsidR="003D412A">
        <w:t>Hence, we</w:t>
      </w:r>
      <w:r>
        <w:t xml:space="preserve"> discuss the design of MPE and mTRP for Rel-17 FeMIMO</w:t>
      </w:r>
      <w:r w:rsidR="003D412A">
        <w:t xml:space="preserve"> context in further details</w:t>
      </w:r>
      <w:r>
        <w:t>.</w:t>
      </w:r>
    </w:p>
    <w:p w14:paraId="4F547731" w14:textId="5B3B615C" w:rsidR="00A209D6" w:rsidRPr="006E13D1" w:rsidRDefault="00A209D6" w:rsidP="00B7538C">
      <w:pPr>
        <w:pStyle w:val="Heading1"/>
      </w:pPr>
      <w:r w:rsidRPr="006E13D1">
        <w:t>2</w:t>
      </w:r>
      <w:r w:rsidRPr="006E13D1">
        <w:tab/>
      </w:r>
      <w:r w:rsidR="00AA317D">
        <w:t xml:space="preserve">Rel-17 </w:t>
      </w:r>
      <w:r w:rsidR="00310019">
        <w:t xml:space="preserve">PHR </w:t>
      </w:r>
      <w:r w:rsidR="005C6B0E">
        <w:t>reporting</w:t>
      </w:r>
    </w:p>
    <w:p w14:paraId="5F01C058" w14:textId="6B8F34F9" w:rsidR="00A209D6" w:rsidRPr="006E13D1" w:rsidRDefault="00B7538C" w:rsidP="00A209D6">
      <w:pPr>
        <w:pStyle w:val="Heading2"/>
      </w:pPr>
      <w:r>
        <w:t>2</w:t>
      </w:r>
      <w:r w:rsidR="00A209D6" w:rsidRPr="006E13D1">
        <w:t>.1</w:t>
      </w:r>
      <w:r w:rsidR="00A209D6" w:rsidRPr="006E13D1">
        <w:tab/>
      </w:r>
      <w:r w:rsidR="00AA317D">
        <w:t xml:space="preserve">L1 design for </w:t>
      </w:r>
      <w:r w:rsidR="005C6B0E">
        <w:t xml:space="preserve">Rel-17 </w:t>
      </w:r>
      <w:r w:rsidR="00AA317D">
        <w:t xml:space="preserve">MPE </w:t>
      </w:r>
      <w:r w:rsidR="005C6B0E">
        <w:t>reporting</w:t>
      </w:r>
    </w:p>
    <w:p w14:paraId="47631707" w14:textId="19E535E3" w:rsidR="00D7088C" w:rsidRDefault="00D70749" w:rsidP="00DD0482">
      <w:r>
        <w:t>RAN1 has agreed to extend the MPE reporting with up to 4 P-MPR values, each corresponding to a particular candidate beam</w:t>
      </w:r>
      <w:r w:rsidR="00576249">
        <w:t>, identified by either SSBRI or CRI</w:t>
      </w:r>
      <w:r>
        <w:t xml:space="preserve">. The intent is to allow UE to report whether some candidate beams could have lower P-MPR (e.g. due to hand not covering some of the UE panels) among a given set of beams (i.e. SSB or CSI-RS). </w:t>
      </w:r>
      <w:r w:rsidR="00576249">
        <w:t xml:space="preserve">The current L1 specifications (see excerpt from TS38.212 below) identify the CSI/SSBRI according to the number of entries in the corresponding CSI-SSB or NZP-CSI-RS ResourceSets, we can look at the maximum number of allowed SSB/CSI-RS signals in each set.  </w:t>
      </w:r>
      <w:r>
        <w:t xml:space="preserve">Currently </w:t>
      </w:r>
      <w:r w:rsidR="00D7088C">
        <w:t>the RRC configuration allows for up to 64 SSB</w:t>
      </w:r>
      <w:r w:rsidR="00576249">
        <w:t xml:space="preserve"> or </w:t>
      </w:r>
      <w:r w:rsidR="00D7088C">
        <w:t xml:space="preserve">CSI-RS resources per </w:t>
      </w:r>
      <w:r w:rsidR="00576249">
        <w:t xml:space="preserve">corresponding </w:t>
      </w:r>
      <w:r w:rsidR="00D7088C">
        <w:t>resource set</w:t>
      </w:r>
      <w:r w:rsidR="00576249">
        <w:t xml:space="preserve">, which means that </w:t>
      </w:r>
      <w:r w:rsidR="00D7088C">
        <w:t xml:space="preserve">7 bits </w:t>
      </w:r>
      <w:r w:rsidR="00576249">
        <w:t xml:space="preserve">(i.e. 6 bits for SSB, 6 bits for CSI-RS) would be sufficient to cover any configuration, even if the MAC CE would indicate the exact CRI or SSBRI. </w:t>
      </w:r>
      <w:r w:rsidR="00F404AB">
        <w:t>The exact number of how many resources can be in the "pool" of beams for MPE is not yet decided in RAN1, but we assume it would be at most 64+64=128 (=2</w:t>
      </w:r>
      <w:r w:rsidR="00F404AB" w:rsidRPr="00F404AB">
        <w:rPr>
          <w:vertAlign w:val="superscript"/>
        </w:rPr>
        <w:t>7</w:t>
      </w:r>
      <w:r w:rsidR="00F404AB">
        <w:t>), which is the maximum amount of CSI-RS and SSB resources than can be configured for a serving cell.</w:t>
      </w:r>
    </w:p>
    <w:tbl>
      <w:tblPr>
        <w:tblStyle w:val="TableGrid"/>
        <w:tblW w:w="0" w:type="auto"/>
        <w:tblLook w:val="04A0" w:firstRow="1" w:lastRow="0" w:firstColumn="1" w:lastColumn="0" w:noHBand="0" w:noVBand="1"/>
      </w:tblPr>
      <w:tblGrid>
        <w:gridCol w:w="9631"/>
      </w:tblGrid>
      <w:tr w:rsidR="00D7088C" w14:paraId="343BA6BB" w14:textId="77777777" w:rsidTr="0022147F">
        <w:tc>
          <w:tcPr>
            <w:tcW w:w="9631" w:type="dxa"/>
          </w:tcPr>
          <w:p w14:paraId="487C5FC0" w14:textId="77777777" w:rsidR="00D7088C" w:rsidRPr="002625EB" w:rsidRDefault="00D7088C" w:rsidP="0022147F">
            <w:pPr>
              <w:jc w:val="both"/>
              <w:rPr>
                <w:lang w:val="en-US" w:eastAsia="zh-CN"/>
              </w:rPr>
            </w:pPr>
            <w:r w:rsidRPr="002625EB">
              <w:rPr>
                <w:lang w:val="en-US" w:eastAsia="zh-CN"/>
              </w:rPr>
              <w:t xml:space="preserve">The bitwidth </w:t>
            </w:r>
            <w:r w:rsidRPr="002625EB">
              <w:rPr>
                <w:rFonts w:hint="eastAsia"/>
                <w:lang w:val="en-US" w:eastAsia="zh-CN"/>
              </w:rPr>
              <w:t>for</w:t>
            </w:r>
            <w:r w:rsidRPr="002625EB">
              <w:rPr>
                <w:lang w:val="en-US" w:eastAsia="zh-CN"/>
              </w:rPr>
              <w:t xml:space="preserve"> CRI</w:t>
            </w:r>
            <w:r w:rsidRPr="002625EB">
              <w:rPr>
                <w:rFonts w:hint="eastAsia"/>
                <w:lang w:val="en-US" w:eastAsia="zh-CN"/>
              </w:rPr>
              <w:t>, SSBRI, RSRP, and differential RSRP are provided in Table 6.3.1.1.2-6.</w:t>
            </w:r>
          </w:p>
          <w:p w14:paraId="66723120" w14:textId="77777777" w:rsidR="00D7088C" w:rsidRPr="002625EB" w:rsidRDefault="00D7088C" w:rsidP="0022147F">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6.3.1.1.2-6</w:t>
            </w:r>
            <w:r w:rsidRPr="002625EB">
              <w:t>:</w:t>
            </w:r>
            <w:r w:rsidRPr="002625EB">
              <w:rPr>
                <w:rFonts w:hint="eastAsia"/>
                <w:lang w:eastAsia="zh-CN"/>
              </w:rPr>
              <w:t xml:space="preserve"> </w:t>
            </w:r>
            <w:r w:rsidRPr="002625EB">
              <w:rPr>
                <w:rFonts w:hint="eastAsia"/>
                <w:lang w:val="en-US" w:eastAsia="zh-CN"/>
              </w:rPr>
              <w:t xml:space="preserve">CRI, </w:t>
            </w:r>
            <w:r w:rsidRPr="002625EB">
              <w:rPr>
                <w:lang w:val="en-US" w:eastAsia="zh-CN"/>
              </w:rPr>
              <w:t>SSBRI</w:t>
            </w:r>
            <w:r w:rsidRPr="002625EB">
              <w:rPr>
                <w:rFonts w:hint="eastAsia"/>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D7088C" w:rsidRPr="002625EB" w14:paraId="17B7A7E4" w14:textId="77777777" w:rsidTr="0022147F">
              <w:trPr>
                <w:trHeight w:val="641"/>
                <w:jc w:val="center"/>
              </w:trPr>
              <w:tc>
                <w:tcPr>
                  <w:tcW w:w="1659" w:type="dxa"/>
                  <w:shd w:val="clear" w:color="auto" w:fill="E0E0E0"/>
                  <w:vAlign w:val="center"/>
                </w:tcPr>
                <w:p w14:paraId="45D37370" w14:textId="77777777" w:rsidR="00D7088C" w:rsidRPr="002625EB" w:rsidRDefault="00D7088C" w:rsidP="0022147F">
                  <w:pPr>
                    <w:pStyle w:val="TAH"/>
                  </w:pPr>
                  <w:r w:rsidRPr="002625EB">
                    <w:t>Field</w:t>
                  </w:r>
                </w:p>
              </w:tc>
              <w:tc>
                <w:tcPr>
                  <w:tcW w:w="2456" w:type="dxa"/>
                  <w:shd w:val="clear" w:color="auto" w:fill="E0E0E0"/>
                  <w:vAlign w:val="center"/>
                </w:tcPr>
                <w:p w14:paraId="5C006F38" w14:textId="77777777" w:rsidR="00D7088C" w:rsidRPr="002625EB" w:rsidRDefault="00D7088C" w:rsidP="0022147F">
                  <w:pPr>
                    <w:pStyle w:val="TAH"/>
                  </w:pPr>
                  <w:r w:rsidRPr="002625EB">
                    <w:t>Bitwidth</w:t>
                  </w:r>
                </w:p>
              </w:tc>
            </w:tr>
            <w:tr w:rsidR="00D7088C" w:rsidRPr="002625EB" w14:paraId="7B3FB6F4" w14:textId="77777777" w:rsidTr="0022147F">
              <w:trPr>
                <w:jc w:val="center"/>
              </w:trPr>
              <w:tc>
                <w:tcPr>
                  <w:tcW w:w="1659" w:type="dxa"/>
                  <w:vAlign w:val="center"/>
                </w:tcPr>
                <w:p w14:paraId="7BB0828F" w14:textId="77777777" w:rsidR="00D7088C" w:rsidRPr="002625EB" w:rsidRDefault="00D7088C" w:rsidP="0022147F">
                  <w:pPr>
                    <w:pStyle w:val="TAC"/>
                    <w:rPr>
                      <w:lang w:eastAsia="zh-CN"/>
                    </w:rPr>
                  </w:pPr>
                  <w:r w:rsidRPr="002625EB">
                    <w:rPr>
                      <w:rFonts w:hint="eastAsia"/>
                      <w:lang w:eastAsia="zh-CN"/>
                    </w:rPr>
                    <w:t>CRI</w:t>
                  </w:r>
                </w:p>
              </w:tc>
              <w:tc>
                <w:tcPr>
                  <w:tcW w:w="2456" w:type="dxa"/>
                  <w:vAlign w:val="center"/>
                </w:tcPr>
                <w:p w14:paraId="3D8D92A6" w14:textId="77777777" w:rsidR="00D7088C" w:rsidRPr="002625EB" w:rsidRDefault="00D7088C" w:rsidP="0022147F">
                  <w:pPr>
                    <w:pStyle w:val="TAC"/>
                    <w:rPr>
                      <w:lang w:eastAsia="zh-CN"/>
                    </w:rPr>
                  </w:pPr>
                  <w:r w:rsidRPr="002625EB">
                    <w:rPr>
                      <w:position w:val="-12"/>
                      <w:sz w:val="11"/>
                      <w:lang w:val="en-US" w:eastAsia="zh-CN"/>
                    </w:rPr>
                    <w:object w:dxaOrig="1560" w:dyaOrig="440" w14:anchorId="3F775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8.75pt" o:ole="">
                        <v:imagedata r:id="rId14" o:title=""/>
                      </v:shape>
                      <o:OLEObject Type="Embed" ProgID="Equation.3" ShapeID="_x0000_i1025" DrawAspect="Content" ObjectID="_1703413012" r:id="rId15"/>
                    </w:object>
                  </w:r>
                </w:p>
              </w:tc>
            </w:tr>
            <w:tr w:rsidR="00D7088C" w:rsidRPr="002625EB" w14:paraId="31B69461" w14:textId="77777777" w:rsidTr="0022147F">
              <w:trPr>
                <w:jc w:val="center"/>
              </w:trPr>
              <w:tc>
                <w:tcPr>
                  <w:tcW w:w="1659" w:type="dxa"/>
                  <w:vAlign w:val="center"/>
                </w:tcPr>
                <w:p w14:paraId="565AA7E0" w14:textId="77777777" w:rsidR="00D7088C" w:rsidRPr="002625EB" w:rsidRDefault="00D7088C" w:rsidP="0022147F">
                  <w:pPr>
                    <w:pStyle w:val="TAC"/>
                    <w:rPr>
                      <w:lang w:eastAsia="zh-CN"/>
                    </w:rPr>
                  </w:pPr>
                  <w:r w:rsidRPr="002625EB">
                    <w:rPr>
                      <w:lang w:eastAsia="zh-CN"/>
                    </w:rPr>
                    <w:t>SSBRI</w:t>
                  </w:r>
                </w:p>
              </w:tc>
              <w:tc>
                <w:tcPr>
                  <w:tcW w:w="2456" w:type="dxa"/>
                  <w:vAlign w:val="center"/>
                </w:tcPr>
                <w:p w14:paraId="6EE71251" w14:textId="77777777" w:rsidR="00D7088C" w:rsidRPr="002625EB" w:rsidRDefault="00D7088C" w:rsidP="0022147F">
                  <w:pPr>
                    <w:pStyle w:val="TAC"/>
                    <w:rPr>
                      <w:lang w:eastAsia="zh-CN"/>
                    </w:rPr>
                  </w:pPr>
                  <w:r w:rsidRPr="002625EB">
                    <w:rPr>
                      <w:position w:val="-12"/>
                      <w:lang w:val="en-US" w:eastAsia="zh-CN"/>
                    </w:rPr>
                    <w:object w:dxaOrig="1320" w:dyaOrig="440" w14:anchorId="60081C42">
                      <v:shape id="_x0000_i1026" type="#_x0000_t75" style="width:52.5pt;height:18.75pt" o:ole="">
                        <v:imagedata r:id="rId16" o:title=""/>
                      </v:shape>
                      <o:OLEObject Type="Embed" ProgID="Equation.3" ShapeID="_x0000_i1026" DrawAspect="Content" ObjectID="_1703413013" r:id="rId17"/>
                    </w:object>
                  </w:r>
                </w:p>
              </w:tc>
            </w:tr>
            <w:tr w:rsidR="00D7088C" w:rsidRPr="002625EB" w14:paraId="332EA732" w14:textId="77777777" w:rsidTr="0022147F">
              <w:trPr>
                <w:jc w:val="center"/>
              </w:trPr>
              <w:tc>
                <w:tcPr>
                  <w:tcW w:w="1659" w:type="dxa"/>
                  <w:vAlign w:val="center"/>
                </w:tcPr>
                <w:p w14:paraId="446716E5" w14:textId="77777777" w:rsidR="00D7088C" w:rsidRPr="002625EB" w:rsidRDefault="00D7088C" w:rsidP="0022147F">
                  <w:pPr>
                    <w:pStyle w:val="TAC"/>
                    <w:rPr>
                      <w:lang w:eastAsia="zh-CN"/>
                    </w:rPr>
                  </w:pPr>
                  <w:r w:rsidRPr="002625EB">
                    <w:rPr>
                      <w:rFonts w:hint="eastAsia"/>
                      <w:lang w:eastAsia="zh-CN"/>
                    </w:rPr>
                    <w:t>RSRP</w:t>
                  </w:r>
                </w:p>
              </w:tc>
              <w:tc>
                <w:tcPr>
                  <w:tcW w:w="2456" w:type="dxa"/>
                  <w:vAlign w:val="center"/>
                </w:tcPr>
                <w:p w14:paraId="41E617DF" w14:textId="77777777" w:rsidR="00D7088C" w:rsidRPr="002625EB" w:rsidRDefault="00D7088C" w:rsidP="0022147F">
                  <w:pPr>
                    <w:pStyle w:val="TAC"/>
                    <w:rPr>
                      <w:lang w:eastAsia="zh-CN"/>
                    </w:rPr>
                  </w:pPr>
                  <w:r w:rsidRPr="002625EB">
                    <w:rPr>
                      <w:rFonts w:hint="eastAsia"/>
                      <w:lang w:eastAsia="zh-CN"/>
                    </w:rPr>
                    <w:t>7</w:t>
                  </w:r>
                </w:p>
              </w:tc>
            </w:tr>
            <w:tr w:rsidR="00D7088C" w:rsidRPr="002625EB" w14:paraId="7EDD5EBA" w14:textId="77777777" w:rsidTr="0022147F">
              <w:trPr>
                <w:jc w:val="center"/>
              </w:trPr>
              <w:tc>
                <w:tcPr>
                  <w:tcW w:w="1659" w:type="dxa"/>
                  <w:vAlign w:val="center"/>
                </w:tcPr>
                <w:p w14:paraId="1FD0F332" w14:textId="77777777" w:rsidR="00D7088C" w:rsidRPr="002625EB" w:rsidRDefault="00D7088C" w:rsidP="0022147F">
                  <w:pPr>
                    <w:pStyle w:val="TAC"/>
                    <w:rPr>
                      <w:lang w:eastAsia="zh-CN"/>
                    </w:rPr>
                  </w:pPr>
                  <w:r w:rsidRPr="002625EB">
                    <w:rPr>
                      <w:rFonts w:hint="eastAsia"/>
                      <w:lang w:eastAsia="zh-CN"/>
                    </w:rPr>
                    <w:t>Differential RSRP</w:t>
                  </w:r>
                </w:p>
              </w:tc>
              <w:tc>
                <w:tcPr>
                  <w:tcW w:w="2456" w:type="dxa"/>
                  <w:vAlign w:val="center"/>
                </w:tcPr>
                <w:p w14:paraId="2E0E8A53" w14:textId="77777777" w:rsidR="00D7088C" w:rsidRPr="002625EB" w:rsidRDefault="00D7088C" w:rsidP="0022147F">
                  <w:pPr>
                    <w:pStyle w:val="TAC"/>
                    <w:rPr>
                      <w:lang w:eastAsia="zh-CN"/>
                    </w:rPr>
                  </w:pPr>
                  <w:r w:rsidRPr="002625EB">
                    <w:rPr>
                      <w:rFonts w:hint="eastAsia"/>
                      <w:lang w:eastAsia="zh-CN"/>
                    </w:rPr>
                    <w:t>4</w:t>
                  </w:r>
                </w:p>
              </w:tc>
            </w:tr>
          </w:tbl>
          <w:p w14:paraId="0D87F7D7" w14:textId="77777777" w:rsidR="00D7088C" w:rsidRPr="00D7088C" w:rsidRDefault="00D7088C" w:rsidP="0022147F">
            <w:pPr>
              <w:jc w:val="both"/>
              <w:rPr>
                <w:lang w:val="en-US" w:eastAsia="zh-CN"/>
              </w:rPr>
            </w:pPr>
            <w:r w:rsidRPr="002625EB">
              <w:rPr>
                <w:rFonts w:hint="eastAsia"/>
                <w:lang w:val="en-US" w:eastAsia="zh-CN"/>
              </w:rPr>
              <w:t xml:space="preserve">where </w:t>
            </w:r>
            <w:r w:rsidRPr="002625EB">
              <w:rPr>
                <w:position w:val="-12"/>
                <w:lang w:val="en-US" w:eastAsia="zh-CN"/>
              </w:rPr>
              <w:object w:dxaOrig="760" w:dyaOrig="380" w14:anchorId="32310611">
                <v:shape id="_x0000_i1027" type="#_x0000_t75" style="width:38.25pt;height:19.5pt" o:ole="">
                  <v:imagedata r:id="rId18" o:title=""/>
                </v:shape>
                <o:OLEObject Type="Embed" ProgID="Equation.3" ShapeID="_x0000_i1027" DrawAspect="Content" ObjectID="_1703413014" r:id="rId19"/>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 xml:space="preserve">corresponding resource set, and </w:t>
            </w:r>
            <w:r w:rsidRPr="002625EB">
              <w:rPr>
                <w:position w:val="-12"/>
                <w:lang w:val="en-US" w:eastAsia="zh-CN"/>
              </w:rPr>
              <w:object w:dxaOrig="520" w:dyaOrig="380" w14:anchorId="1DC277D8">
                <v:shape id="_x0000_i1028" type="#_x0000_t75" style="width:26.25pt;height:19.5pt" o:ole="">
                  <v:imagedata r:id="rId20" o:title=""/>
                </v:shape>
                <o:OLEObject Type="Embed" ProgID="Equation.3" ShapeID="_x0000_i1028" DrawAspect="Content" ObjectID="_1703413015" r:id="rId21"/>
              </w:object>
            </w:r>
            <w:r w:rsidRPr="002625EB">
              <w:rPr>
                <w:rFonts w:hint="eastAsia"/>
                <w:lang w:val="en-US" w:eastAsia="zh-CN"/>
              </w:rPr>
              <w:t xml:space="preserve"> is the configured number of SS/PBCH blocks </w:t>
            </w:r>
            <w:r w:rsidRPr="002625EB">
              <w:rPr>
                <w:lang w:val="en-US" w:eastAsia="zh-CN"/>
              </w:rPr>
              <w:t>in the corresponding</w:t>
            </w:r>
            <w:r w:rsidRPr="002625EB">
              <w:rPr>
                <w:rFonts w:hint="eastAsia"/>
                <w:lang w:val="en-US" w:eastAsia="zh-CN"/>
              </w:rPr>
              <w:t xml:space="preserve"> </w:t>
            </w:r>
            <w:r w:rsidRPr="002625EB">
              <w:rPr>
                <w:lang w:val="en-US" w:eastAsia="zh-CN"/>
              </w:rPr>
              <w:t>resource set</w:t>
            </w:r>
            <w:r w:rsidRPr="002625EB">
              <w:rPr>
                <w:rFonts w:hint="eastAsia"/>
                <w:lang w:val="en-US" w:eastAsia="zh-CN"/>
              </w:rPr>
              <w:t xml:space="preserve"> for reporting </w:t>
            </w:r>
            <w:r w:rsidRPr="002625EB">
              <w:rPr>
                <w:lang w:val="en-US" w:eastAsia="zh-CN"/>
              </w:rPr>
              <w:t>'</w:t>
            </w:r>
            <w:r w:rsidRPr="002625EB">
              <w:rPr>
                <w:rFonts w:hint="eastAsia"/>
                <w:lang w:val="en-US" w:eastAsia="zh-CN"/>
              </w:rPr>
              <w:t>ssb-Index-RSRP</w:t>
            </w:r>
            <w:r w:rsidRPr="002625EB">
              <w:rPr>
                <w:lang w:val="en-US" w:eastAsia="zh-CN"/>
              </w:rPr>
              <w:t>'</w:t>
            </w:r>
            <w:r w:rsidRPr="002625EB">
              <w:rPr>
                <w:rFonts w:hint="eastAsia"/>
                <w:lang w:val="en-US" w:eastAsia="zh-CN"/>
              </w:rPr>
              <w:t>.</w:t>
            </w:r>
          </w:p>
        </w:tc>
      </w:tr>
    </w:tbl>
    <w:p w14:paraId="6E56C71C" w14:textId="11EE73C3" w:rsidR="00576249" w:rsidRPr="00576249" w:rsidRDefault="00576249" w:rsidP="00576249">
      <w:pPr>
        <w:pStyle w:val="Caption"/>
        <w:jc w:val="center"/>
        <w:rPr>
          <w:b/>
          <w:bCs/>
          <w:i w:val="0"/>
          <w:iCs w:val="0"/>
        </w:rPr>
      </w:pPr>
      <w:r w:rsidRPr="00576249">
        <w:rPr>
          <w:b/>
          <w:bCs/>
          <w:i w:val="0"/>
          <w:iCs w:val="0"/>
        </w:rPr>
        <w:t xml:space="preserve">Table </w:t>
      </w:r>
      <w:r w:rsidRPr="00576249">
        <w:rPr>
          <w:b/>
          <w:bCs/>
          <w:i w:val="0"/>
          <w:iCs w:val="0"/>
        </w:rPr>
        <w:fldChar w:fldCharType="begin"/>
      </w:r>
      <w:r w:rsidRPr="00576249">
        <w:rPr>
          <w:b/>
          <w:bCs/>
          <w:i w:val="0"/>
          <w:iCs w:val="0"/>
        </w:rPr>
        <w:instrText xml:space="preserve"> SEQ Table \* ARABIC </w:instrText>
      </w:r>
      <w:r w:rsidRPr="00576249">
        <w:rPr>
          <w:b/>
          <w:bCs/>
          <w:i w:val="0"/>
          <w:iCs w:val="0"/>
        </w:rPr>
        <w:fldChar w:fldCharType="separate"/>
      </w:r>
      <w:r w:rsidR="00EA37FB">
        <w:rPr>
          <w:b/>
          <w:bCs/>
          <w:i w:val="0"/>
          <w:iCs w:val="0"/>
          <w:noProof/>
        </w:rPr>
        <w:t>1</w:t>
      </w:r>
      <w:r w:rsidRPr="00576249">
        <w:rPr>
          <w:b/>
          <w:bCs/>
          <w:i w:val="0"/>
          <w:iCs w:val="0"/>
        </w:rPr>
        <w:fldChar w:fldCharType="end"/>
      </w:r>
      <w:r w:rsidRPr="00576249">
        <w:rPr>
          <w:b/>
          <w:bCs/>
          <w:i w:val="0"/>
          <w:iCs w:val="0"/>
        </w:rPr>
        <w:t>. Excerpt from TS38.212 on CRI/SSBRI bitwidth calculation</w:t>
      </w:r>
    </w:p>
    <w:p w14:paraId="518DAAD1" w14:textId="0E56058B" w:rsidR="00D70749" w:rsidRDefault="00D70749" w:rsidP="00DD0482">
      <w:r w:rsidRPr="00576249">
        <w:rPr>
          <w:b/>
          <w:bCs/>
        </w:rPr>
        <w:t xml:space="preserve">Observation </w:t>
      </w:r>
      <w:r w:rsidR="00576249" w:rsidRPr="00576249">
        <w:rPr>
          <w:b/>
          <w:bCs/>
        </w:rPr>
        <w:t>1</w:t>
      </w:r>
      <w:r w:rsidRPr="00576249">
        <w:rPr>
          <w:b/>
          <w:bCs/>
        </w:rPr>
        <w:t>:</w:t>
      </w:r>
      <w:r>
        <w:t xml:space="preserve"> </w:t>
      </w:r>
      <w:r w:rsidR="003D412A">
        <w:t>Reporting CRI or SSBRI requires 6 bits in Rel-15, so t</w:t>
      </w:r>
      <w:r>
        <w:t>he Rel-17 P-MPR reporting</w:t>
      </w:r>
      <w:r w:rsidR="00576249">
        <w:t xml:space="preserve"> requires </w:t>
      </w:r>
      <w:r w:rsidR="003D412A">
        <w:t>6-7</w:t>
      </w:r>
      <w:r w:rsidR="00576249">
        <w:t xml:space="preserve"> for the SSBRI/CRI signalling MAC CE.</w:t>
      </w:r>
    </w:p>
    <w:p w14:paraId="454DA00C" w14:textId="33C10016" w:rsidR="00576249" w:rsidRDefault="00576249" w:rsidP="00576249"/>
    <w:p w14:paraId="0E2D259C" w14:textId="316F3812" w:rsidR="00576249" w:rsidRDefault="00576249" w:rsidP="00576249">
      <w:r>
        <w:lastRenderedPageBreak/>
        <w:t>The MPE signalling impacts both RRC and MAC: RRC configuration is needed to allow the P-MPR reporting, and MAC CE needs to signal the additional (beam-specific) P-MPRE values. This requires changes to both specifications, which we discuss in the following sections.</w:t>
      </w:r>
    </w:p>
    <w:p w14:paraId="34A6D7EF" w14:textId="44E6F608" w:rsidR="00D92E6A" w:rsidRPr="006E13D1" w:rsidRDefault="00D92E6A" w:rsidP="00D92E6A">
      <w:pPr>
        <w:pStyle w:val="Heading2"/>
      </w:pPr>
      <w:r>
        <w:t>2</w:t>
      </w:r>
      <w:r w:rsidRPr="006E13D1">
        <w:t>.</w:t>
      </w:r>
      <w:r>
        <w:t>2</w:t>
      </w:r>
      <w:r w:rsidRPr="006E13D1">
        <w:tab/>
      </w:r>
      <w:r>
        <w:t xml:space="preserve">MPE </w:t>
      </w:r>
      <w:r w:rsidR="005C6B0E">
        <w:t xml:space="preserve">reporting </w:t>
      </w:r>
      <w:r>
        <w:t xml:space="preserve">in RRC </w:t>
      </w:r>
    </w:p>
    <w:p w14:paraId="7FB6BA7F" w14:textId="2D4C2FC7" w:rsidR="00D92E6A" w:rsidRDefault="00D92E6A" w:rsidP="00D92E6A">
      <w:r>
        <w:t xml:space="preserve">L1 parameters for MPE have been taken into account in the running RRC CR for FeMIMO in </w:t>
      </w:r>
      <w:hyperlink r:id="rId22" w:history="1">
        <w:r w:rsidRPr="00DD0482">
          <w:rPr>
            <w:rStyle w:val="Hyperlink"/>
          </w:rPr>
          <w:t>R2-2200016</w:t>
        </w:r>
      </w:hyperlink>
      <w:r>
        <w:t>, except for the MPE resource pool for which the maximum number of entries was not yet known. The basic structure seems reasonable</w:t>
      </w:r>
      <w:r w:rsidR="004A274F">
        <w:t>,</w:t>
      </w:r>
      <w:r>
        <w:t xml:space="preserve"> but we would note a few points:</w:t>
      </w:r>
    </w:p>
    <w:p w14:paraId="201D8FB4" w14:textId="3E77646B" w:rsidR="00D92E6A" w:rsidRDefault="00D92E6A" w:rsidP="00D92E6A">
      <w:pPr>
        <w:pStyle w:val="ListParagraph"/>
        <w:numPr>
          <w:ilvl w:val="0"/>
          <w:numId w:val="11"/>
        </w:numPr>
      </w:pPr>
      <w:r w:rsidRPr="00642D61">
        <w:rPr>
          <w:b/>
          <w:bCs/>
        </w:rPr>
        <w:t>The MPE resource pool</w:t>
      </w:r>
      <w:r>
        <w:t xml:space="preserve"> structure needs to be defined - it's supposed to contain the SSB/CSI-RS resources used for the P-MPR reporting. in the L1 </w:t>
      </w:r>
      <w:r w:rsidR="004A274F">
        <w:t>parameters</w:t>
      </w:r>
      <w:r>
        <w:t xml:space="preserve"> it is stated that "</w:t>
      </w:r>
      <w:r w:rsidRPr="00642D61">
        <w:rPr>
          <w:i/>
          <w:iCs/>
        </w:rPr>
        <w:t>Detailed design (location, etc.) is up to RAN2</w:t>
      </w:r>
      <w:r>
        <w:t xml:space="preserve">", which we understand to mean that whether the resource pool is e.g. per BWP or per cell is up to RAN2 to determine. Since both the CSI-RS and SSB configurations are per cell, it seems reasonable to consider also the MPE resource pool to be per cell (note also that the PHR configuration is also given as part of </w:t>
      </w:r>
      <w:r w:rsidRPr="00DB4436">
        <w:rPr>
          <w:i/>
          <w:iCs/>
        </w:rPr>
        <w:t>CellGroupConfig</w:t>
      </w:r>
      <w:r>
        <w:t>, which can contain cell-specific information).</w:t>
      </w:r>
    </w:p>
    <w:p w14:paraId="291E9FB8" w14:textId="77777777" w:rsidR="00D92E6A" w:rsidRDefault="00D92E6A" w:rsidP="00D92E6A">
      <w:pPr>
        <w:pStyle w:val="ListParagraph"/>
        <w:numPr>
          <w:ilvl w:val="0"/>
          <w:numId w:val="11"/>
        </w:numPr>
      </w:pPr>
      <w:r w:rsidRPr="00642D61">
        <w:rPr>
          <w:b/>
          <w:bCs/>
        </w:rPr>
        <w:t>Duplication of Rel-16 elements seems unnecessary:</w:t>
      </w:r>
      <w:r>
        <w:t xml:space="preserve"> If the MPE is configured, it's sufficient to add the "new" elements and not duplicate the prohibit timer and MPE threshold. This allows to release only the Rel-17 parts of the configuration and avoids questions such as what would happen if both Rel-16 and Rel-17 MPE reporting were both configured?</w:t>
      </w:r>
    </w:p>
    <w:p w14:paraId="16E21995" w14:textId="77777777" w:rsidR="00D92E6A" w:rsidRDefault="00D92E6A" w:rsidP="00D92E6A">
      <w:pPr>
        <w:pStyle w:val="ListParagraph"/>
        <w:numPr>
          <w:ilvl w:val="0"/>
          <w:numId w:val="11"/>
        </w:numPr>
      </w:pPr>
      <w:r w:rsidRPr="00642D61">
        <w:rPr>
          <w:b/>
          <w:bCs/>
        </w:rPr>
        <w:t>Extendibility</w:t>
      </w:r>
      <w:r>
        <w:t xml:space="preserve"> should be allowed for the Rel-17 MPE configuration as it was accidentally omitted from the Rel-16 IE. Therefore, ellipsis should be added to the Rel-17 MPE IE.</w:t>
      </w:r>
    </w:p>
    <w:p w14:paraId="7AFC2465" w14:textId="05543597" w:rsidR="00D92E6A" w:rsidRDefault="00D92E6A" w:rsidP="00D92E6A">
      <w:pPr>
        <w:pStyle w:val="ListParagraph"/>
        <w:numPr>
          <w:ilvl w:val="0"/>
          <w:numId w:val="11"/>
        </w:numPr>
      </w:pPr>
      <w:r w:rsidRPr="00642D61">
        <w:rPr>
          <w:b/>
          <w:bCs/>
        </w:rPr>
        <w:t>UE capabilities for the MPE reporting</w:t>
      </w:r>
      <w:r>
        <w:t xml:space="preserve"> are expected to </w:t>
      </w:r>
      <w:r w:rsidR="004A274F">
        <w:t>be</w:t>
      </w:r>
      <w:r>
        <w:t xml:space="preserve"> discussed in RAN1 but from RAN2 perspective, it seems reasonable that the UE capable of Rel-17 P-MPR reporting for MPE is also capable of Rel-16 P-MPR reporting for MPE.</w:t>
      </w:r>
    </w:p>
    <w:p w14:paraId="360D2A88" w14:textId="0A9897BC" w:rsidR="00D92E6A" w:rsidRPr="00D70749" w:rsidRDefault="00D92E6A" w:rsidP="00D92E6A">
      <w:r>
        <w:rPr>
          <w:b/>
          <w:bCs/>
        </w:rPr>
        <w:t>Observation 2:</w:t>
      </w:r>
      <w:r>
        <w:t xml:space="preserve"> Rel-17 MPE </w:t>
      </w:r>
      <w:r w:rsidR="00A14458">
        <w:t xml:space="preserve">configuration </w:t>
      </w:r>
      <w:r>
        <w:t>need not duplicate the Rel-16 MPE configuration.</w:t>
      </w:r>
    </w:p>
    <w:p w14:paraId="3225765A" w14:textId="525D72E5" w:rsidR="00D92E6A" w:rsidRPr="00642D61" w:rsidRDefault="00D92E6A" w:rsidP="00D92E6A">
      <w:r w:rsidRPr="00642D61">
        <w:rPr>
          <w:b/>
          <w:bCs/>
        </w:rPr>
        <w:t xml:space="preserve">Proposal </w:t>
      </w:r>
      <w:r>
        <w:rPr>
          <w:b/>
          <w:bCs/>
        </w:rPr>
        <w:t>1</w:t>
      </w:r>
      <w:r w:rsidRPr="00642D61">
        <w:rPr>
          <w:b/>
          <w:bCs/>
        </w:rPr>
        <w:t>:</w:t>
      </w:r>
      <w:r w:rsidRPr="00642D61">
        <w:t xml:space="preserve"> </w:t>
      </w:r>
      <w:r>
        <w:t xml:space="preserve">RRC </w:t>
      </w:r>
      <w:r w:rsidRPr="00642D61">
        <w:t xml:space="preserve">configuration </w:t>
      </w:r>
      <w:r>
        <w:t xml:space="preserve">for Rel-17 MPE shall be extendible without duplicating </w:t>
      </w:r>
      <w:r w:rsidRPr="00642D61">
        <w:t xml:space="preserve">the Rel-16 </w:t>
      </w:r>
      <w:r>
        <w:t>fields</w:t>
      </w:r>
      <w:r w:rsidRPr="00642D61">
        <w:t>.</w:t>
      </w:r>
    </w:p>
    <w:p w14:paraId="623A3774" w14:textId="34516C1A" w:rsidR="00D92E6A" w:rsidRDefault="00D92E6A" w:rsidP="00D92E6A">
      <w:r w:rsidRPr="00642D61">
        <w:rPr>
          <w:b/>
          <w:bCs/>
        </w:rPr>
        <w:t xml:space="preserve">Proposal </w:t>
      </w:r>
      <w:r>
        <w:rPr>
          <w:b/>
          <w:bCs/>
        </w:rPr>
        <w:t>2</w:t>
      </w:r>
      <w:r w:rsidRPr="00642D61">
        <w:rPr>
          <w:b/>
          <w:bCs/>
        </w:rPr>
        <w:t>:</w:t>
      </w:r>
      <w:r w:rsidRPr="00642D61">
        <w:t xml:space="preserve"> The Rel-17 MPE resource pool </w:t>
      </w:r>
      <w:r>
        <w:t xml:space="preserve">is </w:t>
      </w:r>
      <w:r w:rsidRPr="00642D61">
        <w:t>cell-specific</w:t>
      </w:r>
      <w:r>
        <w:t xml:space="preserve"> configuration</w:t>
      </w:r>
      <w:r w:rsidRPr="00642D61">
        <w:t>.</w:t>
      </w:r>
    </w:p>
    <w:p w14:paraId="6E6E5865" w14:textId="1D6CC842" w:rsidR="00D92E6A" w:rsidRDefault="00D92E6A" w:rsidP="00D92E6A">
      <w:r>
        <w:t xml:space="preserve">L1 parameters for MPE have been taken into account in the running RRC CR for FeMIMO in </w:t>
      </w:r>
      <w:hyperlink r:id="rId23" w:history="1">
        <w:r w:rsidRPr="00DD0482">
          <w:rPr>
            <w:rStyle w:val="Hyperlink"/>
          </w:rPr>
          <w:t>R2-2200016</w:t>
        </w:r>
      </w:hyperlink>
      <w:r>
        <w:t>, except for the MPE resource pool for which the maximum number of entries was not yet known. We illustrate the proposed configuration based on above proposals below.</w:t>
      </w:r>
    </w:p>
    <w:p w14:paraId="1A42132E"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PHR-Config ::=                      </w:t>
      </w:r>
      <w:r w:rsidRPr="00D32E67">
        <w:rPr>
          <w:rFonts w:ascii="Courier New" w:hAnsi="Courier New"/>
          <w:noProof/>
          <w:color w:val="993366"/>
          <w:sz w:val="16"/>
          <w:lang w:eastAsia="en-GB"/>
        </w:rPr>
        <w:t>SEQUENCE</w:t>
      </w:r>
      <w:r w:rsidRPr="00D32E67">
        <w:rPr>
          <w:rFonts w:ascii="Courier New" w:hAnsi="Courier New"/>
          <w:noProof/>
          <w:sz w:val="16"/>
          <w:lang w:eastAsia="en-GB"/>
        </w:rPr>
        <w:t xml:space="preserve"> {</w:t>
      </w:r>
    </w:p>
    <w:p w14:paraId="73E6822E"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phr-PeriodicTimer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{sf10, sf20, sf50, sf100, sf200,sf500, sf1000, infinity},</w:t>
      </w:r>
    </w:p>
    <w:p w14:paraId="6D1D20EF"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phr-ProhibitTimer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{sf0, sf10, sf20, sf50, sf100,sf200, sf500, sf1000},</w:t>
      </w:r>
    </w:p>
    <w:p w14:paraId="11856557"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phr-Tx-PowerFactorChange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{dB1, dB3, dB6, infinity},</w:t>
      </w:r>
    </w:p>
    <w:p w14:paraId="458D7F77"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multiplePHR                         </w:t>
      </w:r>
      <w:r w:rsidRPr="00D32E67">
        <w:rPr>
          <w:rFonts w:ascii="Courier New" w:hAnsi="Courier New"/>
          <w:noProof/>
          <w:color w:val="993366"/>
          <w:sz w:val="16"/>
          <w:lang w:eastAsia="en-GB"/>
        </w:rPr>
        <w:t>BOOLEAN</w:t>
      </w:r>
      <w:r w:rsidRPr="00D32E67">
        <w:rPr>
          <w:rFonts w:ascii="Courier New" w:hAnsi="Courier New"/>
          <w:noProof/>
          <w:sz w:val="16"/>
          <w:lang w:eastAsia="en-GB"/>
        </w:rPr>
        <w:t>,</w:t>
      </w:r>
    </w:p>
    <w:p w14:paraId="605FCF4C"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dummy                               </w:t>
      </w:r>
      <w:r w:rsidRPr="00D32E67">
        <w:rPr>
          <w:rFonts w:ascii="Courier New" w:hAnsi="Courier New"/>
          <w:noProof/>
          <w:color w:val="993366"/>
          <w:sz w:val="16"/>
          <w:lang w:eastAsia="en-GB"/>
        </w:rPr>
        <w:t>BOOLEAN</w:t>
      </w:r>
      <w:r w:rsidRPr="00D32E67">
        <w:rPr>
          <w:rFonts w:ascii="Courier New" w:hAnsi="Courier New"/>
          <w:noProof/>
          <w:sz w:val="16"/>
          <w:lang w:eastAsia="en-GB"/>
        </w:rPr>
        <w:t>,</w:t>
      </w:r>
    </w:p>
    <w:p w14:paraId="56A072FF"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phr-Type2OtherCell                  </w:t>
      </w:r>
      <w:r w:rsidRPr="00D32E67">
        <w:rPr>
          <w:rFonts w:ascii="Courier New" w:hAnsi="Courier New"/>
          <w:noProof/>
          <w:color w:val="993366"/>
          <w:sz w:val="16"/>
          <w:lang w:eastAsia="en-GB"/>
        </w:rPr>
        <w:t>BOOLEAN</w:t>
      </w:r>
      <w:r w:rsidRPr="00D32E67">
        <w:rPr>
          <w:rFonts w:ascii="Courier New" w:hAnsi="Courier New"/>
          <w:noProof/>
          <w:sz w:val="16"/>
          <w:lang w:eastAsia="en-GB"/>
        </w:rPr>
        <w:t>,</w:t>
      </w:r>
    </w:p>
    <w:p w14:paraId="6468790D"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phr-ModeOtherCG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{real, virtual},</w:t>
      </w:r>
    </w:p>
    <w:p w14:paraId="16F8CE74"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w:t>
      </w:r>
    </w:p>
    <w:p w14:paraId="6214ECBD"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w:t>
      </w:r>
    </w:p>
    <w:p w14:paraId="57CAFC21"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32E67">
        <w:rPr>
          <w:rFonts w:ascii="Courier New" w:hAnsi="Courier New"/>
          <w:noProof/>
          <w:sz w:val="16"/>
          <w:lang w:eastAsia="en-GB"/>
        </w:rPr>
        <w:t xml:space="preserve">    mpe-Reporting-FR2-r16               SetupRelease { MPE-Config-FR2-r16 }                     </w:t>
      </w:r>
      <w:r w:rsidRPr="00D32E67">
        <w:rPr>
          <w:rFonts w:ascii="Courier New" w:hAnsi="Courier New"/>
          <w:noProof/>
          <w:color w:val="993366"/>
          <w:sz w:val="16"/>
          <w:lang w:eastAsia="en-GB"/>
        </w:rPr>
        <w:t>OPTIONAL</w:t>
      </w:r>
      <w:r w:rsidRPr="00D32E67">
        <w:rPr>
          <w:rFonts w:ascii="Courier New" w:hAnsi="Courier New"/>
          <w:noProof/>
          <w:sz w:val="16"/>
          <w:lang w:eastAsia="en-GB"/>
        </w:rPr>
        <w:t xml:space="preserve">     </w:t>
      </w:r>
      <w:r w:rsidRPr="00D32E67">
        <w:rPr>
          <w:rFonts w:ascii="Courier New" w:hAnsi="Courier New"/>
          <w:noProof/>
          <w:color w:val="808080"/>
          <w:sz w:val="16"/>
          <w:lang w:eastAsia="en-GB"/>
        </w:rPr>
        <w:t>-- Need M</w:t>
      </w:r>
    </w:p>
    <w:p w14:paraId="2137664A"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lang w:eastAsia="en-GB"/>
        </w:rPr>
        <w:t xml:space="preserve">    ]]</w:t>
      </w:r>
      <w:r w:rsidRPr="00D32E67">
        <w:rPr>
          <w:rFonts w:ascii="Courier New" w:hAnsi="Courier New"/>
          <w:noProof/>
          <w:sz w:val="16"/>
          <w:highlight w:val="yellow"/>
          <w:lang w:eastAsia="en-GB"/>
        </w:rPr>
        <w:t>,</w:t>
      </w:r>
    </w:p>
    <w:p w14:paraId="655BF8BA"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highlight w:val="yellow"/>
          <w:lang w:eastAsia="en-GB"/>
        </w:rPr>
        <w:t xml:space="preserve">    [[</w:t>
      </w:r>
    </w:p>
    <w:p w14:paraId="1461DB3A"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D32E67">
        <w:rPr>
          <w:rFonts w:ascii="Courier New" w:hAnsi="Courier New"/>
          <w:noProof/>
          <w:sz w:val="16"/>
          <w:highlight w:val="yellow"/>
          <w:lang w:eastAsia="en-GB"/>
        </w:rPr>
        <w:t xml:space="preserve">    mpe-Reporting-FR2-r17               SetupRelease { MPE-Config-FR2-r17 }                     </w:t>
      </w:r>
      <w:r w:rsidRPr="00D32E67">
        <w:rPr>
          <w:rFonts w:ascii="Courier New" w:hAnsi="Courier New"/>
          <w:noProof/>
          <w:color w:val="993366"/>
          <w:sz w:val="16"/>
          <w:highlight w:val="yellow"/>
          <w:lang w:eastAsia="en-GB"/>
        </w:rPr>
        <w:t>OPTIONAL</w:t>
      </w:r>
      <w:r w:rsidRPr="00D32E67">
        <w:rPr>
          <w:rFonts w:ascii="Courier New" w:hAnsi="Courier New"/>
          <w:noProof/>
          <w:sz w:val="16"/>
          <w:highlight w:val="yellow"/>
          <w:lang w:eastAsia="en-GB"/>
        </w:rPr>
        <w:t xml:space="preserve">     </w:t>
      </w:r>
      <w:r w:rsidRPr="00D32E67">
        <w:rPr>
          <w:rFonts w:ascii="Courier New" w:hAnsi="Courier New"/>
          <w:noProof/>
          <w:color w:val="808080"/>
          <w:sz w:val="16"/>
          <w:highlight w:val="yellow"/>
          <w:lang w:eastAsia="en-GB"/>
        </w:rPr>
        <w:t>-- Need M</w:t>
      </w:r>
    </w:p>
    <w:p w14:paraId="092409E1"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highlight w:val="yellow"/>
          <w:lang w:eastAsia="en-GB"/>
        </w:rPr>
        <w:t xml:space="preserve">    ]]</w:t>
      </w:r>
    </w:p>
    <w:p w14:paraId="469BACFE"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w:t>
      </w:r>
    </w:p>
    <w:p w14:paraId="5D486536"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5FB9C2"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MPE-Config-FR2-r16 ::=              </w:t>
      </w:r>
      <w:r w:rsidRPr="00D32E67">
        <w:rPr>
          <w:rFonts w:ascii="Courier New" w:hAnsi="Courier New"/>
          <w:noProof/>
          <w:color w:val="993366"/>
          <w:sz w:val="16"/>
          <w:lang w:eastAsia="en-GB"/>
        </w:rPr>
        <w:t>SEQUENCE</w:t>
      </w:r>
      <w:r w:rsidRPr="00D32E67">
        <w:rPr>
          <w:rFonts w:ascii="Courier New" w:hAnsi="Courier New"/>
          <w:noProof/>
          <w:sz w:val="16"/>
          <w:lang w:eastAsia="en-GB"/>
        </w:rPr>
        <w:t xml:space="preserve"> {</w:t>
      </w:r>
    </w:p>
    <w:p w14:paraId="1C662BF5"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mpe-ProhibitTimer-r16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{sf0, sf10, sf20, sf50, sf100, sf200, sf500, sf1000},</w:t>
      </w:r>
    </w:p>
    <w:p w14:paraId="16B11FBC"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mpe-Threshold-r16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{dB3, dB6, dB9, dB12}</w:t>
      </w:r>
    </w:p>
    <w:p w14:paraId="241B3EF3"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w:t>
      </w:r>
    </w:p>
    <w:p w14:paraId="444AA6FA"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F48F38"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highlight w:val="yellow"/>
          <w:lang w:eastAsia="en-GB"/>
        </w:rPr>
        <w:t xml:space="preserve">MPE-Config-FR2-r17 ::=              </w:t>
      </w:r>
      <w:r w:rsidRPr="00D32E67">
        <w:rPr>
          <w:rFonts w:ascii="Courier New" w:hAnsi="Courier New"/>
          <w:noProof/>
          <w:color w:val="993366"/>
          <w:sz w:val="16"/>
          <w:highlight w:val="yellow"/>
          <w:lang w:eastAsia="en-GB"/>
        </w:rPr>
        <w:t>SEQUENCE</w:t>
      </w:r>
      <w:r w:rsidRPr="00D32E67">
        <w:rPr>
          <w:rFonts w:ascii="Courier New" w:hAnsi="Courier New"/>
          <w:noProof/>
          <w:sz w:val="16"/>
          <w:highlight w:val="yellow"/>
          <w:lang w:eastAsia="en-GB"/>
        </w:rPr>
        <w:t xml:space="preserve"> {</w:t>
      </w:r>
    </w:p>
    <w:p w14:paraId="072765B6" w14:textId="77777777" w:rsidR="00D92E6A"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 xml:space="preserve">    mpe-ServingCellConfig-r17           MPE-ServingCellConfig-r17</w:t>
      </w:r>
    </w:p>
    <w:p w14:paraId="0D75AF18" w14:textId="77777777" w:rsidR="00D92E6A"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highlight w:val="yellow"/>
          <w:lang w:eastAsia="en-GB"/>
        </w:rPr>
        <w:t xml:space="preserve">    ...</w:t>
      </w:r>
    </w:p>
    <w:p w14:paraId="76CAD321" w14:textId="77777777" w:rsidR="00D92E6A"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w:t>
      </w:r>
    </w:p>
    <w:p w14:paraId="5E1287A8" w14:textId="77777777" w:rsidR="00D92E6A"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07EB1CD0" w14:textId="77777777" w:rsidR="00D92E6A"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 xml:space="preserve">MPE-ServingCellConfig-r17 ::= </w:t>
      </w:r>
      <w:r w:rsidRPr="00D32E67">
        <w:rPr>
          <w:rFonts w:ascii="Courier New" w:hAnsi="Courier New"/>
          <w:noProof/>
          <w:sz w:val="16"/>
          <w:highlight w:val="yellow"/>
          <w:lang w:eastAsia="en-GB"/>
        </w:rPr>
        <w:t xml:space="preserve">              </w:t>
      </w:r>
      <w:r w:rsidRPr="00D32E67">
        <w:rPr>
          <w:rFonts w:ascii="Courier New" w:hAnsi="Courier New"/>
          <w:noProof/>
          <w:color w:val="993366"/>
          <w:sz w:val="16"/>
          <w:highlight w:val="yellow"/>
          <w:lang w:eastAsia="en-GB"/>
        </w:rPr>
        <w:t>SEQUENCE</w:t>
      </w:r>
      <w:r w:rsidRPr="00D32E67">
        <w:rPr>
          <w:rFonts w:ascii="Courier New" w:hAnsi="Courier New"/>
          <w:noProof/>
          <w:sz w:val="16"/>
          <w:highlight w:val="yellow"/>
          <w:lang w:eastAsia="en-GB"/>
        </w:rPr>
        <w:t xml:space="preserve"> {</w:t>
      </w:r>
    </w:p>
    <w:p w14:paraId="61BD16CD" w14:textId="77777777" w:rsidR="00D92E6A"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 xml:space="preserve">    servCellIndex-r17                   ServCellIndex,</w:t>
      </w:r>
    </w:p>
    <w:p w14:paraId="2E209C00"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highlight w:val="yellow"/>
          <w:lang w:eastAsia="en-GB"/>
        </w:rPr>
        <w:lastRenderedPageBreak/>
        <w:t xml:space="preserve">    numberOfN-r17                       INTEGER{1..4},</w:t>
      </w:r>
    </w:p>
    <w:p w14:paraId="340D8A90" w14:textId="77777777" w:rsidR="00D92E6A" w:rsidRDefault="00D92E6A" w:rsidP="00D92E6A">
      <w:pPr>
        <w:pStyle w:val="PL"/>
        <w:shd w:val="clear" w:color="auto" w:fill="E6E6E6"/>
        <w:rPr>
          <w:highlight w:val="yellow"/>
          <w:lang w:eastAsia="en-GB"/>
        </w:rPr>
      </w:pPr>
      <w:r w:rsidRPr="00D32E67">
        <w:rPr>
          <w:highlight w:val="yellow"/>
          <w:lang w:eastAsia="en-GB"/>
        </w:rPr>
        <w:t xml:space="preserve">    mpe-ResourcePool-r17                </w:t>
      </w:r>
      <w:r w:rsidRPr="00D7088C">
        <w:rPr>
          <w:color w:val="993366"/>
          <w:highlight w:val="yellow"/>
        </w:rPr>
        <w:t>SEQUENCE</w:t>
      </w:r>
      <w:r w:rsidRPr="00D7088C">
        <w:rPr>
          <w:highlight w:val="yellow"/>
          <w:lang w:eastAsia="en-GB"/>
        </w:rPr>
        <w:t xml:space="preserve"> (</w:t>
      </w:r>
      <w:r w:rsidRPr="00D7088C">
        <w:rPr>
          <w:color w:val="993366"/>
          <w:highlight w:val="yellow"/>
        </w:rPr>
        <w:t>SIZE</w:t>
      </w:r>
      <w:r w:rsidRPr="00D7088C">
        <w:rPr>
          <w:highlight w:val="yellow"/>
          <w:lang w:eastAsia="en-GB"/>
        </w:rPr>
        <w:t>(1..maxMPE-</w:t>
      </w:r>
      <w:r>
        <w:rPr>
          <w:highlight w:val="yellow"/>
          <w:lang w:eastAsia="en-GB"/>
        </w:rPr>
        <w:t>Resources</w:t>
      </w:r>
      <w:r w:rsidRPr="00D7088C">
        <w:rPr>
          <w:highlight w:val="yellow"/>
          <w:lang w:eastAsia="en-GB"/>
        </w:rPr>
        <w:t xml:space="preserve">-r17)) </w:t>
      </w:r>
      <w:r w:rsidRPr="00D7088C">
        <w:rPr>
          <w:color w:val="993366"/>
          <w:highlight w:val="yellow"/>
        </w:rPr>
        <w:t>OF</w:t>
      </w:r>
      <w:r w:rsidRPr="00D7088C">
        <w:rPr>
          <w:highlight w:val="yellow"/>
          <w:lang w:eastAsia="en-GB"/>
        </w:rPr>
        <w:t xml:space="preserve"> </w:t>
      </w:r>
      <w:r w:rsidRPr="00D32E67">
        <w:rPr>
          <w:highlight w:val="yellow"/>
          <w:lang w:eastAsia="en-GB"/>
        </w:rPr>
        <w:t>MPE-Resource-r17,</w:t>
      </w:r>
    </w:p>
    <w:p w14:paraId="068972A2" w14:textId="77777777" w:rsidR="00D92E6A" w:rsidRPr="00D32E67" w:rsidRDefault="00D92E6A" w:rsidP="00D92E6A">
      <w:pPr>
        <w:pStyle w:val="PL"/>
        <w:shd w:val="clear" w:color="auto" w:fill="E6E6E6"/>
        <w:rPr>
          <w:highlight w:val="yellow"/>
          <w:lang w:eastAsia="en-GB"/>
        </w:rPr>
      </w:pPr>
      <w:r>
        <w:rPr>
          <w:highlight w:val="yellow"/>
          <w:lang w:eastAsia="en-GB"/>
        </w:rPr>
        <w:t xml:space="preserve">    ...</w:t>
      </w:r>
    </w:p>
    <w:p w14:paraId="61FF6CCB" w14:textId="77777777" w:rsidR="00D92E6A"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w:t>
      </w:r>
    </w:p>
    <w:p w14:paraId="1EFD8D93" w14:textId="77777777" w:rsidR="00D92E6A"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002D147A" w14:textId="77777777" w:rsidR="00D92E6A" w:rsidRPr="00396E9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96E97">
        <w:rPr>
          <w:rFonts w:ascii="Courier New" w:hAnsi="Courier New"/>
          <w:noProof/>
          <w:sz w:val="16"/>
          <w:highlight w:val="yellow"/>
          <w:lang w:eastAsia="en-GB"/>
        </w:rPr>
        <w:t>MPE-Resource</w:t>
      </w:r>
      <w:r>
        <w:rPr>
          <w:rFonts w:ascii="Courier New" w:hAnsi="Courier New"/>
          <w:noProof/>
          <w:sz w:val="16"/>
          <w:highlight w:val="yellow"/>
          <w:lang w:eastAsia="en-GB"/>
        </w:rPr>
        <w:t>-r17</w:t>
      </w:r>
      <w:r w:rsidRPr="00396E97">
        <w:rPr>
          <w:rFonts w:ascii="Courier New" w:hAnsi="Courier New"/>
          <w:noProof/>
          <w:sz w:val="16"/>
          <w:highlight w:val="yellow"/>
          <w:lang w:eastAsia="en-GB"/>
        </w:rPr>
        <w:t xml:space="preserve"> ::= </w:t>
      </w:r>
      <w:r w:rsidRPr="00D32E67">
        <w:rPr>
          <w:rFonts w:ascii="Courier New" w:hAnsi="Courier New"/>
          <w:noProof/>
          <w:sz w:val="16"/>
          <w:highlight w:val="yellow"/>
          <w:lang w:eastAsia="en-GB"/>
        </w:rPr>
        <w:t xml:space="preserve">              </w:t>
      </w:r>
      <w:r w:rsidRPr="00D32E67">
        <w:rPr>
          <w:rFonts w:ascii="Courier New" w:hAnsi="Courier New"/>
          <w:noProof/>
          <w:color w:val="993366"/>
          <w:sz w:val="16"/>
          <w:highlight w:val="yellow"/>
          <w:lang w:eastAsia="en-GB"/>
        </w:rPr>
        <w:t>SEQUENCE</w:t>
      </w:r>
      <w:r w:rsidRPr="00D32E67">
        <w:rPr>
          <w:rFonts w:ascii="Courier New" w:hAnsi="Courier New"/>
          <w:noProof/>
          <w:sz w:val="16"/>
          <w:highlight w:val="yellow"/>
          <w:lang w:eastAsia="en-GB"/>
        </w:rPr>
        <w:t xml:space="preserve"> {</w:t>
      </w:r>
    </w:p>
    <w:p w14:paraId="5C773827" w14:textId="77777777" w:rsidR="00D92E6A" w:rsidRDefault="00D92E6A" w:rsidP="00D92E6A">
      <w:pPr>
        <w:pStyle w:val="PL"/>
        <w:shd w:val="clear" w:color="auto" w:fill="E6E6E6"/>
        <w:rPr>
          <w:highlight w:val="yellow"/>
          <w:lang w:eastAsia="en-GB"/>
        </w:rPr>
      </w:pPr>
      <w:r>
        <w:rPr>
          <w:highlight w:val="yellow"/>
          <w:lang w:eastAsia="en-GB"/>
        </w:rPr>
        <w:t xml:space="preserve">    mpe-ResourceId-r17              INTEGER (1..</w:t>
      </w:r>
      <w:r w:rsidRPr="00D7088C">
        <w:rPr>
          <w:highlight w:val="yellow"/>
          <w:lang w:eastAsia="en-GB"/>
        </w:rPr>
        <w:t>maxMPE-</w:t>
      </w:r>
      <w:r>
        <w:rPr>
          <w:highlight w:val="yellow"/>
          <w:lang w:eastAsia="en-GB"/>
        </w:rPr>
        <w:t>Resources</w:t>
      </w:r>
      <w:r w:rsidRPr="00D7088C">
        <w:rPr>
          <w:highlight w:val="yellow"/>
          <w:lang w:eastAsia="en-GB"/>
        </w:rPr>
        <w:t>-r17</w:t>
      </w:r>
      <w:r>
        <w:rPr>
          <w:highlight w:val="yellow"/>
          <w:lang w:eastAsia="en-GB"/>
        </w:rPr>
        <w:t>),</w:t>
      </w:r>
    </w:p>
    <w:p w14:paraId="64B213F9" w14:textId="77777777" w:rsidR="00D92E6A" w:rsidRDefault="00D92E6A" w:rsidP="00D92E6A">
      <w:pPr>
        <w:pStyle w:val="PL"/>
        <w:shd w:val="clear" w:color="auto" w:fill="E6E6E6"/>
        <w:rPr>
          <w:highlight w:val="yellow"/>
          <w:lang w:eastAsia="en-GB"/>
        </w:rPr>
      </w:pPr>
      <w:r>
        <w:rPr>
          <w:highlight w:val="yellow"/>
          <w:lang w:eastAsia="en-GB"/>
        </w:rPr>
        <w:t xml:space="preserve">    mpe-ReferenceSignal-r17         </w:t>
      </w:r>
      <w:r>
        <w:rPr>
          <w:color w:val="993366"/>
          <w:highlight w:val="yellow"/>
        </w:rPr>
        <w:t>CHOICE</w:t>
      </w:r>
      <w:r>
        <w:rPr>
          <w:highlight w:val="yellow"/>
          <w:lang w:eastAsia="en-GB"/>
        </w:rPr>
        <w:t xml:space="preserve"> {</w:t>
      </w:r>
      <w:r w:rsidRPr="00396E97">
        <w:rPr>
          <w:highlight w:val="yellow"/>
          <w:lang w:eastAsia="en-GB"/>
        </w:rPr>
        <w:t xml:space="preserve">   </w:t>
      </w:r>
    </w:p>
    <w:p w14:paraId="1EB51D96" w14:textId="77777777" w:rsidR="00D92E6A" w:rsidRPr="00396E97" w:rsidRDefault="00D92E6A" w:rsidP="00D92E6A">
      <w:pPr>
        <w:pStyle w:val="PL"/>
        <w:shd w:val="clear" w:color="auto" w:fill="E6E6E6"/>
        <w:rPr>
          <w:highlight w:val="yellow"/>
          <w:lang w:eastAsia="en-GB"/>
        </w:rPr>
      </w:pPr>
      <w:r>
        <w:rPr>
          <w:highlight w:val="yellow"/>
          <w:lang w:eastAsia="en-GB"/>
        </w:rPr>
        <w:t xml:space="preserve">        csi-RS-Resource-r17</w:t>
      </w:r>
      <w:r w:rsidRPr="00396E97">
        <w:rPr>
          <w:highlight w:val="yellow"/>
          <w:lang w:eastAsia="en-GB"/>
        </w:rPr>
        <w:t xml:space="preserve"> </w:t>
      </w:r>
      <w:r>
        <w:rPr>
          <w:highlight w:val="yellow"/>
          <w:lang w:eastAsia="en-GB"/>
        </w:rPr>
        <w:t xml:space="preserve">           </w:t>
      </w:r>
      <w:r w:rsidRPr="00396E97">
        <w:rPr>
          <w:highlight w:val="yellow"/>
          <w:lang w:eastAsia="en-GB"/>
        </w:rPr>
        <w:t>NZP-CSI-RS-ResourceId</w:t>
      </w:r>
      <w:r>
        <w:rPr>
          <w:highlight w:val="yellow"/>
          <w:lang w:eastAsia="en-GB"/>
        </w:rPr>
        <w:t>,</w:t>
      </w:r>
    </w:p>
    <w:p w14:paraId="253CCD13" w14:textId="77777777" w:rsidR="00D92E6A" w:rsidRDefault="00D92E6A" w:rsidP="00D92E6A">
      <w:pPr>
        <w:pStyle w:val="PL"/>
        <w:shd w:val="clear" w:color="auto" w:fill="E6E6E6"/>
        <w:rPr>
          <w:highlight w:val="yellow"/>
        </w:rPr>
      </w:pPr>
      <w:r>
        <w:rPr>
          <w:highlight w:val="yellow"/>
        </w:rPr>
        <w:t xml:space="preserve"> </w:t>
      </w:r>
      <w:r w:rsidRPr="00396E97">
        <w:rPr>
          <w:highlight w:val="yellow"/>
        </w:rPr>
        <w:t xml:space="preserve">    </w:t>
      </w:r>
      <w:r>
        <w:rPr>
          <w:highlight w:val="yellow"/>
        </w:rPr>
        <w:t xml:space="preserve">   </w:t>
      </w:r>
      <w:r w:rsidRPr="00396E97">
        <w:rPr>
          <w:highlight w:val="yellow"/>
        </w:rPr>
        <w:t>ssb-Resource</w:t>
      </w:r>
      <w:r>
        <w:rPr>
          <w:highlight w:val="yellow"/>
        </w:rPr>
        <w:t>-r17</w:t>
      </w:r>
      <w:r w:rsidRPr="00396E97">
        <w:rPr>
          <w:highlight w:val="yellow"/>
        </w:rPr>
        <w:t xml:space="preserve">               SSB-Index</w:t>
      </w:r>
    </w:p>
    <w:p w14:paraId="2894139E" w14:textId="77777777" w:rsidR="00D92E6A" w:rsidRPr="00396E97" w:rsidRDefault="00D92E6A" w:rsidP="00D92E6A">
      <w:pPr>
        <w:pStyle w:val="PL"/>
        <w:shd w:val="clear" w:color="auto" w:fill="E6E6E6"/>
        <w:rPr>
          <w:highlight w:val="yellow"/>
        </w:rPr>
      </w:pPr>
      <w:r>
        <w:rPr>
          <w:highlight w:val="yellow"/>
        </w:rPr>
        <w:t xml:space="preserve">   }</w:t>
      </w:r>
    </w:p>
    <w:p w14:paraId="53C15356" w14:textId="77777777" w:rsidR="00D92E6A"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highlight w:val="yellow"/>
          <w:lang w:eastAsia="en-GB"/>
        </w:rPr>
        <w:t>}</w:t>
      </w:r>
    </w:p>
    <w:p w14:paraId="3AA6FA43" w14:textId="77777777" w:rsidR="00D92E6A"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DBA505" w14:textId="77777777" w:rsidR="00D92E6A" w:rsidRPr="00D92E6A"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2E6A">
        <w:rPr>
          <w:rFonts w:ascii="Courier New" w:hAnsi="Courier New"/>
          <w:noProof/>
          <w:sz w:val="16"/>
          <w:highlight w:val="yellow"/>
          <w:lang w:eastAsia="en-GB"/>
        </w:rPr>
        <w:t xml:space="preserve">maxMPE-Resources-r17               INTEGER ::= 64   </w:t>
      </w:r>
      <w:r w:rsidRPr="00D92E6A">
        <w:rPr>
          <w:rFonts w:ascii="Courier New" w:hAnsi="Courier New"/>
          <w:noProof/>
          <w:color w:val="808080"/>
          <w:sz w:val="16"/>
          <w:highlight w:val="yellow"/>
          <w:lang w:eastAsia="en-GB"/>
        </w:rPr>
        <w:t>-- Maximum number of pooled MPE resources</w:t>
      </w:r>
    </w:p>
    <w:p w14:paraId="2F569200" w14:textId="77777777" w:rsidR="00D92E6A" w:rsidRPr="00D32E67" w:rsidRDefault="00D92E6A" w:rsidP="00D9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2BD408" w14:textId="77777777" w:rsidR="00D92E6A" w:rsidRDefault="00D92E6A" w:rsidP="00D92E6A">
      <w:pPr>
        <w:rPr>
          <w:b/>
        </w:rPr>
      </w:pPr>
    </w:p>
    <w:p w14:paraId="5771FC10" w14:textId="1B01AB6A" w:rsidR="00D92E6A" w:rsidRDefault="00D92E6A" w:rsidP="00D92E6A">
      <w:pPr>
        <w:rPr>
          <w:bCs/>
        </w:rPr>
      </w:pPr>
      <w:r>
        <w:rPr>
          <w:bCs/>
        </w:rPr>
        <w:t xml:space="preserve">The above structure uses the existing NZP-CSI-RS and SSB configurations as indices, which are configured as part of CSI-SSB-ResourceSet and allows MAC to just refer to the reported P-MPR using the value of the field </w:t>
      </w:r>
      <w:r w:rsidRPr="00576249">
        <w:rPr>
          <w:bCs/>
          <w:i/>
          <w:iCs/>
        </w:rPr>
        <w:t>mpe-ResourceId-r17</w:t>
      </w:r>
      <w:r>
        <w:rPr>
          <w:bCs/>
        </w:rPr>
        <w:t xml:space="preserve">. The configuration is put as part of PHR-Config since the existing MPE configuration is there, but since cell-specific configurations are typically part of </w:t>
      </w:r>
      <w:r w:rsidRPr="00E86513">
        <w:rPr>
          <w:bCs/>
          <w:i/>
          <w:iCs/>
        </w:rPr>
        <w:t>ServingCellConfig</w:t>
      </w:r>
      <w:r>
        <w:rPr>
          <w:bCs/>
        </w:rPr>
        <w:t>, the cell-specific parts could also be added there.</w:t>
      </w:r>
    </w:p>
    <w:p w14:paraId="4ADFE4C1" w14:textId="30311CB4" w:rsidR="00D92E6A" w:rsidRPr="00576249" w:rsidRDefault="00D92E6A" w:rsidP="00D92E6A">
      <w:pPr>
        <w:rPr>
          <w:bCs/>
        </w:rPr>
      </w:pPr>
      <w:r w:rsidRPr="00D92E6A">
        <w:rPr>
          <w:b/>
        </w:rPr>
        <w:t xml:space="preserve">Proposal </w:t>
      </w:r>
      <w:r>
        <w:rPr>
          <w:b/>
        </w:rPr>
        <w:t>3</w:t>
      </w:r>
      <w:r w:rsidRPr="00D92E6A">
        <w:rPr>
          <w:b/>
        </w:rPr>
        <w:t>:</w:t>
      </w:r>
      <w:r>
        <w:rPr>
          <w:bCs/>
        </w:rPr>
        <w:t xml:space="preserve"> RAN2 to discuss whether to define the (cell-specific) configuration of MPE resource pool in </w:t>
      </w:r>
      <w:r w:rsidRPr="00D92E6A">
        <w:rPr>
          <w:bCs/>
          <w:i/>
          <w:iCs/>
        </w:rPr>
        <w:t>PHR-Config</w:t>
      </w:r>
      <w:r>
        <w:rPr>
          <w:bCs/>
        </w:rPr>
        <w:t xml:space="preserve"> or in </w:t>
      </w:r>
      <w:r w:rsidRPr="00D92E6A">
        <w:rPr>
          <w:bCs/>
          <w:i/>
          <w:iCs/>
        </w:rPr>
        <w:t>ServingCellConfig</w:t>
      </w:r>
      <w:r>
        <w:rPr>
          <w:bCs/>
        </w:rPr>
        <w:t>.</w:t>
      </w:r>
    </w:p>
    <w:p w14:paraId="54782646" w14:textId="7E932338" w:rsidR="00576249" w:rsidRPr="006E13D1" w:rsidRDefault="00576249" w:rsidP="00576249">
      <w:pPr>
        <w:pStyle w:val="Heading2"/>
      </w:pPr>
      <w:r>
        <w:t>2</w:t>
      </w:r>
      <w:r w:rsidRPr="006E13D1">
        <w:t>.</w:t>
      </w:r>
      <w:r w:rsidR="00D92E6A">
        <w:t>3</w:t>
      </w:r>
      <w:r w:rsidRPr="006E13D1">
        <w:tab/>
      </w:r>
      <w:r>
        <w:t xml:space="preserve">MPE </w:t>
      </w:r>
      <w:r w:rsidR="005C6B0E">
        <w:t xml:space="preserve">reporting </w:t>
      </w:r>
      <w:r>
        <w:t>in MAC</w:t>
      </w:r>
    </w:p>
    <w:p w14:paraId="206140C5" w14:textId="202A58F3" w:rsidR="00576249" w:rsidRDefault="00653FCA" w:rsidP="00576249">
      <w:r>
        <w:t xml:space="preserve">The basic MAC design question is how to </w:t>
      </w:r>
      <w:r w:rsidR="008E1F6D">
        <w:t xml:space="preserve">apply the MPE reporting. Since </w:t>
      </w:r>
      <w:r w:rsidR="00576249">
        <w:t>in Rel-16, the MPE reporting was included (after a long discussion) as part of the PHR MAC CE as this was seen as be the simplest option by several companies. This also led to the MPE reporting triggers to be specified as part of the PHR procedures. Given that RAN1 is now extending the Rel-16 MPE reporting, it seems reasonable to consider the following as baseline assumptions:</w:t>
      </w:r>
    </w:p>
    <w:p w14:paraId="4DFE8A46" w14:textId="77777777" w:rsidR="00576249" w:rsidRDefault="00576249" w:rsidP="00576249">
      <w:pPr>
        <w:pStyle w:val="ListParagraph"/>
        <w:numPr>
          <w:ilvl w:val="0"/>
          <w:numId w:val="9"/>
        </w:numPr>
      </w:pPr>
      <w:r>
        <w:t>Rel-17 MPE reporting is added to the PHR MAC CE, extending the Rel-16 MPE reporting.</w:t>
      </w:r>
    </w:p>
    <w:p w14:paraId="390B8EEC" w14:textId="13E5208D" w:rsidR="00576249" w:rsidRDefault="00576249" w:rsidP="00576249">
      <w:pPr>
        <w:pStyle w:val="ListParagraph"/>
        <w:numPr>
          <w:ilvl w:val="0"/>
          <w:numId w:val="9"/>
        </w:numPr>
      </w:pPr>
      <w:r>
        <w:t xml:space="preserve">UE supporting Rel-17 MPE reporting shall also support Rel-16 MPE reporting. </w:t>
      </w:r>
    </w:p>
    <w:p w14:paraId="581E8D46" w14:textId="7B6F599B" w:rsidR="00D92E6A" w:rsidRDefault="00D92E6A" w:rsidP="00576249">
      <w:pPr>
        <w:pStyle w:val="ListParagraph"/>
        <w:numPr>
          <w:ilvl w:val="0"/>
          <w:numId w:val="9"/>
        </w:numPr>
      </w:pPr>
      <w:r>
        <w:t>UE shall always the Rel-17 PHR format if the Rel-17 MPE configuration is provided.</w:t>
      </w:r>
    </w:p>
    <w:p w14:paraId="0B76D85E" w14:textId="73902FFC" w:rsidR="00576249" w:rsidRDefault="00576249" w:rsidP="00576249">
      <w:r w:rsidRPr="00D70749">
        <w:rPr>
          <w:b/>
          <w:bCs/>
        </w:rPr>
        <w:t xml:space="preserve">Proposal </w:t>
      </w:r>
      <w:r w:rsidR="00D92E6A">
        <w:rPr>
          <w:b/>
          <w:bCs/>
        </w:rPr>
        <w:t>4</w:t>
      </w:r>
      <w:r w:rsidRPr="00D70749">
        <w:rPr>
          <w:b/>
          <w:bCs/>
        </w:rPr>
        <w:t>:</w:t>
      </w:r>
      <w:r>
        <w:t xml:space="preserve"> Rel-17 MPE reporting is added to PHR MAC CE as extension to Rel-16 MPE reporting. UE </w:t>
      </w:r>
      <w:r w:rsidR="00D92E6A">
        <w:t xml:space="preserve">shall always use the </w:t>
      </w:r>
      <w:r>
        <w:t xml:space="preserve">Rel-17 P-MPR reporting </w:t>
      </w:r>
      <w:r w:rsidR="00D92E6A">
        <w:t>format when the Rel-1</w:t>
      </w:r>
      <w:r w:rsidR="009D078B">
        <w:t>7</w:t>
      </w:r>
      <w:r w:rsidR="00D92E6A">
        <w:t xml:space="preserve"> MPE configuration </w:t>
      </w:r>
      <w:r w:rsidR="00975927">
        <w:t xml:space="preserve">is </w:t>
      </w:r>
      <w:r w:rsidR="00D92E6A">
        <w:t xml:space="preserve">provided. </w:t>
      </w:r>
    </w:p>
    <w:p w14:paraId="5433F2DE" w14:textId="6B57F17A" w:rsidR="00935AF5" w:rsidRPr="00935AF5" w:rsidRDefault="00576249" w:rsidP="00E86513">
      <w:pPr>
        <w:rPr>
          <w:b/>
        </w:rPr>
      </w:pPr>
      <w:r>
        <w:t xml:space="preserve">Next, the PHR </w:t>
      </w:r>
      <w:r w:rsidR="008E1F6D">
        <w:t>content needs to be considered.</w:t>
      </w:r>
      <w:r w:rsidR="003B53E9">
        <w:t xml:space="preserve"> As per RAN1 decisions, UE is configured in RRC with the "MPE resource pool" (see previous section), and network can indicate how for many additional beams UE can report P-MPR in PHR</w:t>
      </w:r>
      <w:r w:rsidR="00DF656F">
        <w:t>, which requires both the P-bit and MPE fields</w:t>
      </w:r>
      <w:r w:rsidR="003B53E9">
        <w:t xml:space="preserve">. </w:t>
      </w:r>
      <w:r w:rsidR="00DF656F">
        <w:t xml:space="preserve">For beam identification, </w:t>
      </w:r>
      <w:r w:rsidR="00240CD0">
        <w:t xml:space="preserve">UE </w:t>
      </w:r>
      <w:r w:rsidR="00DF656F">
        <w:t xml:space="preserve">needs to </w:t>
      </w:r>
      <w:r w:rsidR="00240CD0">
        <w:t>indicate the "MPE resource"</w:t>
      </w:r>
      <w:r w:rsidR="00DF656F">
        <w:t xml:space="preserve"> index in the MAC CE, and</w:t>
      </w:r>
      <w:r w:rsidR="003B53E9">
        <w:t xml:space="preserve"> for the P-MPR to be useful, also the </w:t>
      </w:r>
      <w:r w:rsidR="00240CD0">
        <w:t>P</w:t>
      </w:r>
      <w:r w:rsidR="00240CD0" w:rsidRPr="00F404AB">
        <w:rPr>
          <w:vertAlign w:val="subscript"/>
        </w:rPr>
        <w:t>CMAX,f,c</w:t>
      </w:r>
      <w:r w:rsidR="00240CD0">
        <w:t xml:space="preserve"> needs to be included</w:t>
      </w:r>
      <w:r w:rsidR="00DF656F">
        <w:t xml:space="preserve">. But given that all of these beams are (by nature) "virtual", it seems that there is no need to include the V-bit for any of the </w:t>
      </w:r>
      <w:r w:rsidR="003D4109">
        <w:t>beams</w:t>
      </w:r>
      <w:r w:rsidR="00DF656F">
        <w:t>.</w:t>
      </w:r>
      <w:r w:rsidR="00240CD0">
        <w:t xml:space="preserve"> </w:t>
      </w:r>
    </w:p>
    <w:p w14:paraId="6C56471C" w14:textId="289A1360" w:rsidR="00DF656F" w:rsidRDefault="00DF656F" w:rsidP="001F0CB6">
      <w:r w:rsidRPr="00E86513">
        <w:rPr>
          <w:b/>
          <w:bCs/>
        </w:rPr>
        <w:t>Proposal 5:</w:t>
      </w:r>
      <w:r>
        <w:t xml:space="preserve"> The Rel-17 PHR MAC CE should indicate 0-4 </w:t>
      </w:r>
      <w:r w:rsidR="00FF2A70">
        <w:t xml:space="preserve">instances of </w:t>
      </w:r>
      <w:r w:rsidR="004D096C">
        <w:t>"beam information", with each "beam information" containing P-bit, 2-bit MPE field, beam identification field and P</w:t>
      </w:r>
      <w:r w:rsidR="004D096C" w:rsidRPr="00F404AB">
        <w:rPr>
          <w:vertAlign w:val="subscript"/>
        </w:rPr>
        <w:t>CMAX,f,c</w:t>
      </w:r>
      <w:r w:rsidR="004D096C">
        <w:t xml:space="preserve"> field.</w:t>
      </w:r>
    </w:p>
    <w:p w14:paraId="3CEDC715" w14:textId="675C7A3D" w:rsidR="00313E8B" w:rsidRDefault="004D096C" w:rsidP="001F0CB6">
      <w:r>
        <w:t xml:space="preserve">For the </w:t>
      </w:r>
      <w:r w:rsidR="00266F3B">
        <w:t>"beam identification field", w</w:t>
      </w:r>
      <w:r w:rsidR="00F404AB">
        <w:t xml:space="preserve">e would propose to initially reserve </w:t>
      </w:r>
      <w:r w:rsidR="00935AF5">
        <w:t>6</w:t>
      </w:r>
      <w:r w:rsidR="00F404AB">
        <w:t xml:space="preserve"> bits for the CRI/SSBRI signalling</w:t>
      </w:r>
      <w:r w:rsidR="00935AF5">
        <w:t xml:space="preserve"> as that fits the existing maximum </w:t>
      </w:r>
      <w:r w:rsidR="0021427B">
        <w:t>values</w:t>
      </w:r>
      <w:r w:rsidR="00935AF5">
        <w:t xml:space="preserve"> for SSB and CSI-RS</w:t>
      </w:r>
      <w:r w:rsidR="00F404AB">
        <w:t xml:space="preserve">. </w:t>
      </w:r>
    </w:p>
    <w:p w14:paraId="2BCC2A9D" w14:textId="71465DFD" w:rsidR="00313E8B" w:rsidRDefault="00313E8B" w:rsidP="001F0CB6">
      <w:r w:rsidRPr="00F404AB">
        <w:rPr>
          <w:b/>
          <w:bCs/>
        </w:rPr>
        <w:t xml:space="preserve">Proposal </w:t>
      </w:r>
      <w:r w:rsidR="00266F3B">
        <w:rPr>
          <w:b/>
          <w:bCs/>
        </w:rPr>
        <w:t>6</w:t>
      </w:r>
      <w:r w:rsidRPr="00F404AB">
        <w:rPr>
          <w:b/>
          <w:bCs/>
        </w:rPr>
        <w:t>:</w:t>
      </w:r>
      <w:r>
        <w:t xml:space="preserve"> Reserve 6 bits for the CRI/SSBRI </w:t>
      </w:r>
      <w:r w:rsidR="00DD7E63">
        <w:t xml:space="preserve">(i.e. beam index) </w:t>
      </w:r>
      <w:r>
        <w:t xml:space="preserve">reporting </w:t>
      </w:r>
      <w:r w:rsidR="00266F3B">
        <w:t xml:space="preserve">for the Rel-17 </w:t>
      </w:r>
      <w:r w:rsidR="00DD7E63">
        <w:t xml:space="preserve">PHR </w:t>
      </w:r>
      <w:r>
        <w:t>MAC CE.</w:t>
      </w:r>
      <w:r w:rsidR="002C16F1">
        <w:t xml:space="preserve"> The field indicates the resource index configured in RRC for the MPE resource pool.</w:t>
      </w:r>
    </w:p>
    <w:p w14:paraId="1C343F57" w14:textId="06D97B3B" w:rsidR="002C16F1" w:rsidRDefault="002C16F1" w:rsidP="00B7538C">
      <w:pPr>
        <w:rPr>
          <w:bCs/>
        </w:rPr>
      </w:pPr>
      <w:r>
        <w:rPr>
          <w:bCs/>
        </w:rPr>
        <w:t>Finally, the same changes need to be done for all the three different PHR formats: single-entry PHR, multi-entry PHR with max 8 cells and multi-entry PHR with max 32 cells. We propose to (at least attempt) to align the basic MAC CE design for all of these if at all possible</w:t>
      </w:r>
      <w:r w:rsidR="004A7991">
        <w:rPr>
          <w:bCs/>
        </w:rPr>
        <w:t>.</w:t>
      </w:r>
    </w:p>
    <w:p w14:paraId="0DE18CB5" w14:textId="1261F269" w:rsidR="00DD7E63" w:rsidRPr="00A019A4" w:rsidRDefault="00DD7E63" w:rsidP="00B7538C">
      <w:pPr>
        <w:rPr>
          <w:bCs/>
        </w:rPr>
      </w:pPr>
      <w:r w:rsidRPr="00DD7E63">
        <w:rPr>
          <w:b/>
        </w:rPr>
        <w:t xml:space="preserve">Proposal </w:t>
      </w:r>
      <w:r w:rsidR="004A7991">
        <w:rPr>
          <w:b/>
        </w:rPr>
        <w:t>7</w:t>
      </w:r>
      <w:r w:rsidRPr="00DD7E63">
        <w:rPr>
          <w:b/>
        </w:rPr>
        <w:t>:</w:t>
      </w:r>
      <w:r>
        <w:rPr>
          <w:bCs/>
        </w:rPr>
        <w:t xml:space="preserve"> </w:t>
      </w:r>
      <w:r w:rsidR="004A7991">
        <w:rPr>
          <w:bCs/>
        </w:rPr>
        <w:t>A</w:t>
      </w:r>
      <w:r>
        <w:rPr>
          <w:bCs/>
        </w:rPr>
        <w:t>lign the design of single-entry and multi-entry formats of PHR MAC CE for Rel-17 P-MPR reporting.</w:t>
      </w:r>
    </w:p>
    <w:p w14:paraId="1417E668" w14:textId="6B25D46A" w:rsidR="00310019" w:rsidRPr="006E13D1" w:rsidRDefault="00310019" w:rsidP="00310019">
      <w:pPr>
        <w:pStyle w:val="Heading2"/>
      </w:pPr>
      <w:r>
        <w:t>2</w:t>
      </w:r>
      <w:r w:rsidRPr="006E13D1">
        <w:t>.</w:t>
      </w:r>
      <w:r>
        <w:t>4</w:t>
      </w:r>
      <w:r w:rsidRPr="006E13D1">
        <w:tab/>
      </w:r>
      <w:r>
        <w:t>PHR reporting for mTRP</w:t>
      </w:r>
    </w:p>
    <w:p w14:paraId="631032F4" w14:textId="40CC6236" w:rsidR="00AA317D" w:rsidRDefault="00D92E6A" w:rsidP="00AA317D">
      <w:r>
        <w:t xml:space="preserve">The mTRP design also necessitates the addition of additional information into PHR reports: Notably, RAN1 has decided that PHR reporting should be allowed to indicate PHR for TRP1 and TRP2 when (multi-DCI) multi-TRP is configured. Since this has the </w:t>
      </w:r>
      <w:r w:rsidR="0021427B">
        <w:t>potential</w:t>
      </w:r>
      <w:r>
        <w:t xml:space="preserve"> to conflict with the MPE information, some care needs to be taken in defining the PHR with both information contents. </w:t>
      </w:r>
    </w:p>
    <w:p w14:paraId="0C883D4C" w14:textId="0394E707" w:rsidR="00DD7E63" w:rsidRDefault="00DD7E63" w:rsidP="00AA317D">
      <w:r w:rsidRPr="00DD7E63">
        <w:rPr>
          <w:b/>
          <w:bCs/>
        </w:rPr>
        <w:lastRenderedPageBreak/>
        <w:t xml:space="preserve">Observation </w:t>
      </w:r>
      <w:r w:rsidR="00310019">
        <w:rPr>
          <w:b/>
          <w:bCs/>
        </w:rPr>
        <w:t>3</w:t>
      </w:r>
      <w:r w:rsidRPr="00DD7E63">
        <w:rPr>
          <w:b/>
          <w:bCs/>
        </w:rPr>
        <w:t>:</w:t>
      </w:r>
      <w:r>
        <w:t xml:space="preserve"> Rel-17 Multi-TRP requires UE to </w:t>
      </w:r>
      <w:r w:rsidR="00310019">
        <w:t xml:space="preserve">duplicate the existing PH </w:t>
      </w:r>
      <w:r>
        <w:t xml:space="preserve">report </w:t>
      </w:r>
      <w:r w:rsidR="00310019">
        <w:t xml:space="preserve">for each serving cell using mTRP, i.e. the fields </w:t>
      </w:r>
      <w:r w:rsidR="001F032D">
        <w:t xml:space="preserve">P, </w:t>
      </w:r>
      <w:r>
        <w:t>PH</w:t>
      </w:r>
      <w:r w:rsidR="00310019">
        <w:t xml:space="preserve">, </w:t>
      </w:r>
      <w:r>
        <w:t xml:space="preserve"> </w:t>
      </w:r>
      <w:r w:rsidR="001F032D">
        <w:t>(</w:t>
      </w:r>
      <w:r>
        <w:t xml:space="preserve">MPE </w:t>
      </w:r>
      <w:r w:rsidR="001F032D">
        <w:t xml:space="preserve">or R) and </w:t>
      </w:r>
      <w:r>
        <w:t>PCMAX,f,c for both TRP1 and TRP2.</w:t>
      </w:r>
    </w:p>
    <w:p w14:paraId="45D896B7" w14:textId="026FBC7B" w:rsidR="00DD7E63" w:rsidRDefault="00DD7E63" w:rsidP="00AA317D">
      <w:r>
        <w:t xml:space="preserve">The basic design for single-entry PHR is quite simple, and is shown in Figure </w:t>
      </w:r>
      <w:r w:rsidR="00EA37FB">
        <w:t>1</w:t>
      </w:r>
      <w:r>
        <w:t xml:space="preserve"> below. It consists of simply repeating the information contents already in the PHR.</w:t>
      </w:r>
    </w:p>
    <w:p w14:paraId="7BDD63CD" w14:textId="53748494" w:rsidR="001F0CB6" w:rsidRPr="006E13D1" w:rsidRDefault="001F0CB6" w:rsidP="00AA317D">
      <w:r w:rsidRPr="001F0CB6">
        <w:rPr>
          <w:noProof/>
        </w:rPr>
        <w:drawing>
          <wp:inline distT="0" distB="0" distL="0" distR="0" wp14:anchorId="08C9EAB8" wp14:editId="453D15A7">
            <wp:extent cx="5693410" cy="100965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93410" cy="1009650"/>
                    </a:xfrm>
                    <a:prstGeom prst="rect">
                      <a:avLst/>
                    </a:prstGeom>
                    <a:noFill/>
                    <a:ln>
                      <a:noFill/>
                    </a:ln>
                  </pic:spPr>
                </pic:pic>
              </a:graphicData>
            </a:graphic>
          </wp:inline>
        </w:drawing>
      </w:r>
    </w:p>
    <w:p w14:paraId="71F0BED5" w14:textId="139E725C" w:rsidR="00DD7E63" w:rsidRPr="00935AF5" w:rsidRDefault="00DD7E63" w:rsidP="00DD7E63">
      <w:pPr>
        <w:pStyle w:val="Caption"/>
        <w:jc w:val="center"/>
        <w:rPr>
          <w:b/>
          <w:bCs/>
          <w:i w:val="0"/>
          <w:iCs w:val="0"/>
        </w:rPr>
      </w:pPr>
      <w:r w:rsidRPr="00935AF5">
        <w:rPr>
          <w:b/>
          <w:bCs/>
          <w:i w:val="0"/>
          <w:iCs w:val="0"/>
        </w:rPr>
        <w:t xml:space="preserve">Figure </w:t>
      </w:r>
      <w:r w:rsidRPr="00935AF5">
        <w:rPr>
          <w:b/>
          <w:bCs/>
          <w:i w:val="0"/>
          <w:iCs w:val="0"/>
        </w:rPr>
        <w:fldChar w:fldCharType="begin"/>
      </w:r>
      <w:r w:rsidRPr="00935AF5">
        <w:rPr>
          <w:b/>
          <w:bCs/>
          <w:i w:val="0"/>
          <w:iCs w:val="0"/>
        </w:rPr>
        <w:instrText xml:space="preserve"> SEQ Figure \* ARABIC </w:instrText>
      </w:r>
      <w:r w:rsidRPr="00935AF5">
        <w:rPr>
          <w:b/>
          <w:bCs/>
          <w:i w:val="0"/>
          <w:iCs w:val="0"/>
        </w:rPr>
        <w:fldChar w:fldCharType="separate"/>
      </w:r>
      <w:r w:rsidR="00EA37FB">
        <w:rPr>
          <w:b/>
          <w:bCs/>
          <w:i w:val="0"/>
          <w:iCs w:val="0"/>
          <w:noProof/>
        </w:rPr>
        <w:t>1</w:t>
      </w:r>
      <w:r w:rsidRPr="00935AF5">
        <w:rPr>
          <w:b/>
          <w:bCs/>
          <w:i w:val="0"/>
          <w:iCs w:val="0"/>
        </w:rPr>
        <w:fldChar w:fldCharType="end"/>
      </w:r>
      <w:r w:rsidRPr="00935AF5">
        <w:rPr>
          <w:b/>
          <w:bCs/>
          <w:i w:val="0"/>
          <w:iCs w:val="0"/>
        </w:rPr>
        <w:t xml:space="preserve">. </w:t>
      </w:r>
      <w:r>
        <w:rPr>
          <w:b/>
          <w:bCs/>
          <w:i w:val="0"/>
          <w:iCs w:val="0"/>
        </w:rPr>
        <w:t xml:space="preserve">Single-entry PHR for Rel-17 mTRP </w:t>
      </w:r>
    </w:p>
    <w:p w14:paraId="436E1EA1" w14:textId="518B90F2" w:rsidR="00770F7F" w:rsidRDefault="00770F7F" w:rsidP="00770F7F">
      <w:r w:rsidRPr="00B84DB2">
        <w:rPr>
          <w:b/>
        </w:rPr>
        <w:t xml:space="preserve">Observation </w:t>
      </w:r>
      <w:r>
        <w:rPr>
          <w:b/>
        </w:rPr>
        <w:t>4</w:t>
      </w:r>
      <w:r w:rsidRPr="007A2E55">
        <w:rPr>
          <w:bCs/>
        </w:rPr>
        <w:t>:</w:t>
      </w:r>
      <w:r>
        <w:t xml:space="preserve"> Addition of mTRP-based reporting adds a fixed 2 octet overhead per reported serving cell to PHR MAC CE. </w:t>
      </w:r>
    </w:p>
    <w:p w14:paraId="0A618801" w14:textId="5DF05809" w:rsidR="00DD7E63" w:rsidRPr="00935AF5" w:rsidRDefault="00DD7E63" w:rsidP="00E86513">
      <w:pPr>
        <w:rPr>
          <w:b/>
        </w:rPr>
      </w:pPr>
      <w:r>
        <w:t xml:space="preserve">As is noted in the </w:t>
      </w:r>
      <w:hyperlink r:id="rId25">
        <w:r w:rsidRPr="169B0AFE">
          <w:rPr>
            <w:rStyle w:val="Hyperlink"/>
          </w:rPr>
          <w:t>R2-2200016</w:t>
        </w:r>
      </w:hyperlink>
      <w:r>
        <w:t>, it's not clear whether the MPE information can also be reported for mTRP cases. However, this is obviously possible at the cost of additional overhead, as UE would have to repeat all the MPE information for each TRP</w:t>
      </w:r>
      <w:r w:rsidR="005A48B6">
        <w:t>. Once RAN1 has confirmed on whether these two features can be used together, the merging of both can be better discussed. However, we assume the basic design can still be done assuming both can be configured together</w:t>
      </w:r>
      <w:r w:rsidR="00BB36AF">
        <w:t>.</w:t>
      </w:r>
    </w:p>
    <w:p w14:paraId="5DAF1600" w14:textId="2D37741C" w:rsidR="00AA317D" w:rsidDel="00770F7F" w:rsidRDefault="00AA317D" w:rsidP="00AA317D">
      <w:r w:rsidRPr="00B84DB2" w:rsidDel="00770F7F">
        <w:rPr>
          <w:b/>
        </w:rPr>
        <w:t xml:space="preserve">Observation </w:t>
      </w:r>
      <w:r w:rsidR="005C6B0E" w:rsidDel="00770F7F">
        <w:rPr>
          <w:b/>
        </w:rPr>
        <w:t>8</w:t>
      </w:r>
      <w:r w:rsidRPr="007A2E55" w:rsidDel="00770F7F">
        <w:rPr>
          <w:bCs/>
        </w:rPr>
        <w:t>:</w:t>
      </w:r>
      <w:r w:rsidDel="00770F7F">
        <w:t xml:space="preserve"> </w:t>
      </w:r>
      <w:r w:rsidR="005C6B0E" w:rsidDel="00770F7F">
        <w:t>Addition of mTRP-based reporting adds a fixed 2 octet overhead per reported serving cell to PHR MAC CE. Combining with MPE reporting can be done without large complexity increase.</w:t>
      </w:r>
    </w:p>
    <w:p w14:paraId="7FC4EC4E" w14:textId="686E2EC7" w:rsidR="00AA317D" w:rsidRDefault="005C6B0E" w:rsidP="00A209D6">
      <w:pPr>
        <w:rPr>
          <w:bCs/>
        </w:rPr>
      </w:pPr>
      <w:r w:rsidRPr="00DD7E63">
        <w:rPr>
          <w:b/>
        </w:rPr>
        <w:t xml:space="preserve">Proposal </w:t>
      </w:r>
      <w:r w:rsidR="00BB36AF">
        <w:rPr>
          <w:b/>
        </w:rPr>
        <w:t>8</w:t>
      </w:r>
      <w:r w:rsidRPr="00DD7E63">
        <w:rPr>
          <w:b/>
        </w:rPr>
        <w:t>:</w:t>
      </w:r>
      <w:r>
        <w:rPr>
          <w:bCs/>
        </w:rPr>
        <w:t xml:space="preserve"> RAN2 to design PHR MAC CE so that mTRP and MPE reporting can be included at the same time. If RAN1 indicates this is not possible, RRC configuration can include restriction that Rel-17 P-MPR reporting and  Rel-17 mTRP cannot be configured at the same time. </w:t>
      </w:r>
    </w:p>
    <w:p w14:paraId="378C7FCE" w14:textId="0DB12B5B" w:rsidR="00D80752" w:rsidRDefault="00D80752" w:rsidP="00A209D6">
      <w:pPr>
        <w:rPr>
          <w:bCs/>
        </w:rPr>
      </w:pPr>
      <w:r>
        <w:rPr>
          <w:bCs/>
        </w:rPr>
        <w:t xml:space="preserve">Finally, we would that RRC still requires configuration for the UE to use this PHR reporting. this can be done in a fairly simple manner as shown below </w:t>
      </w:r>
      <w:r w:rsidR="005057C6">
        <w:rPr>
          <w:bCs/>
        </w:rPr>
        <w:t xml:space="preserve">with green highlighting </w:t>
      </w:r>
      <w:r>
        <w:rPr>
          <w:bCs/>
        </w:rPr>
        <w:t>(</w:t>
      </w:r>
      <w:r w:rsidR="005057C6">
        <w:rPr>
          <w:bCs/>
        </w:rPr>
        <w:t xml:space="preserve">with the baseline RRC </w:t>
      </w:r>
      <w:r>
        <w:rPr>
          <w:bCs/>
        </w:rPr>
        <w:t>including also the MPE configuration as shown in 2.2):</w:t>
      </w:r>
    </w:p>
    <w:p w14:paraId="1C4B1057"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PHR-Config ::=                      </w:t>
      </w:r>
      <w:r w:rsidRPr="00D32E67">
        <w:rPr>
          <w:rFonts w:ascii="Courier New" w:hAnsi="Courier New"/>
          <w:noProof/>
          <w:color w:val="993366"/>
          <w:sz w:val="16"/>
          <w:lang w:eastAsia="en-GB"/>
        </w:rPr>
        <w:t>SEQUENCE</w:t>
      </w:r>
      <w:r w:rsidRPr="00D32E67">
        <w:rPr>
          <w:rFonts w:ascii="Courier New" w:hAnsi="Courier New"/>
          <w:noProof/>
          <w:sz w:val="16"/>
          <w:lang w:eastAsia="en-GB"/>
        </w:rPr>
        <w:t xml:space="preserve"> {</w:t>
      </w:r>
    </w:p>
    <w:p w14:paraId="06BE890A"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phr-PeriodicTimer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{sf10, sf20, sf50, sf100, sf200,sf500, sf1000, infinity},</w:t>
      </w:r>
    </w:p>
    <w:p w14:paraId="569BF749"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phr-ProhibitTimer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{sf0, sf10, sf20, sf50, sf100,sf200, sf500, sf1000},</w:t>
      </w:r>
    </w:p>
    <w:p w14:paraId="386A7D44"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phr-Tx-PowerFactorChange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{dB1, dB3, dB6, infinity},</w:t>
      </w:r>
    </w:p>
    <w:p w14:paraId="68547A0F"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multiplePHR                         </w:t>
      </w:r>
      <w:r w:rsidRPr="00D32E67">
        <w:rPr>
          <w:rFonts w:ascii="Courier New" w:hAnsi="Courier New"/>
          <w:noProof/>
          <w:color w:val="993366"/>
          <w:sz w:val="16"/>
          <w:lang w:eastAsia="en-GB"/>
        </w:rPr>
        <w:t>BOOLEAN</w:t>
      </w:r>
      <w:r w:rsidRPr="00D32E67">
        <w:rPr>
          <w:rFonts w:ascii="Courier New" w:hAnsi="Courier New"/>
          <w:noProof/>
          <w:sz w:val="16"/>
          <w:lang w:eastAsia="en-GB"/>
        </w:rPr>
        <w:t>,</w:t>
      </w:r>
    </w:p>
    <w:p w14:paraId="0BDB81EC"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dummy                               </w:t>
      </w:r>
      <w:r w:rsidRPr="00D32E67">
        <w:rPr>
          <w:rFonts w:ascii="Courier New" w:hAnsi="Courier New"/>
          <w:noProof/>
          <w:color w:val="993366"/>
          <w:sz w:val="16"/>
          <w:lang w:eastAsia="en-GB"/>
        </w:rPr>
        <w:t>BOOLEAN</w:t>
      </w:r>
      <w:r w:rsidRPr="00D32E67">
        <w:rPr>
          <w:rFonts w:ascii="Courier New" w:hAnsi="Courier New"/>
          <w:noProof/>
          <w:sz w:val="16"/>
          <w:lang w:eastAsia="en-GB"/>
        </w:rPr>
        <w:t>,</w:t>
      </w:r>
    </w:p>
    <w:p w14:paraId="7F13E07F"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phr-Type2OtherCell                  </w:t>
      </w:r>
      <w:r w:rsidRPr="00D32E67">
        <w:rPr>
          <w:rFonts w:ascii="Courier New" w:hAnsi="Courier New"/>
          <w:noProof/>
          <w:color w:val="993366"/>
          <w:sz w:val="16"/>
          <w:lang w:eastAsia="en-GB"/>
        </w:rPr>
        <w:t>BOOLEAN</w:t>
      </w:r>
      <w:r w:rsidRPr="00D32E67">
        <w:rPr>
          <w:rFonts w:ascii="Courier New" w:hAnsi="Courier New"/>
          <w:noProof/>
          <w:sz w:val="16"/>
          <w:lang w:eastAsia="en-GB"/>
        </w:rPr>
        <w:t>,</w:t>
      </w:r>
    </w:p>
    <w:p w14:paraId="389856F5"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phr-ModeOtherCG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{real, virtual},</w:t>
      </w:r>
    </w:p>
    <w:p w14:paraId="474CC15B"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w:t>
      </w:r>
    </w:p>
    <w:p w14:paraId="66A29D6B"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w:t>
      </w:r>
    </w:p>
    <w:p w14:paraId="077DF827"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32E67">
        <w:rPr>
          <w:rFonts w:ascii="Courier New" w:hAnsi="Courier New"/>
          <w:noProof/>
          <w:sz w:val="16"/>
          <w:lang w:eastAsia="en-GB"/>
        </w:rPr>
        <w:t xml:space="preserve">    mpe-Reporting-FR2-r16               SetupRelease { MPE-Config-FR2-r16 }                     </w:t>
      </w:r>
      <w:r w:rsidRPr="00D32E67">
        <w:rPr>
          <w:rFonts w:ascii="Courier New" w:hAnsi="Courier New"/>
          <w:noProof/>
          <w:color w:val="993366"/>
          <w:sz w:val="16"/>
          <w:lang w:eastAsia="en-GB"/>
        </w:rPr>
        <w:t>OPTIONAL</w:t>
      </w:r>
      <w:r w:rsidRPr="00D32E67">
        <w:rPr>
          <w:rFonts w:ascii="Courier New" w:hAnsi="Courier New"/>
          <w:noProof/>
          <w:sz w:val="16"/>
          <w:lang w:eastAsia="en-GB"/>
        </w:rPr>
        <w:t xml:space="preserve">     </w:t>
      </w:r>
      <w:r w:rsidRPr="00D32E67">
        <w:rPr>
          <w:rFonts w:ascii="Courier New" w:hAnsi="Courier New"/>
          <w:noProof/>
          <w:color w:val="808080"/>
          <w:sz w:val="16"/>
          <w:lang w:eastAsia="en-GB"/>
        </w:rPr>
        <w:t>-- Need M</w:t>
      </w:r>
    </w:p>
    <w:p w14:paraId="06A5A153"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lang w:eastAsia="en-GB"/>
        </w:rPr>
        <w:t xml:space="preserve">    ]]</w:t>
      </w:r>
      <w:r w:rsidRPr="00D32E67">
        <w:rPr>
          <w:rFonts w:ascii="Courier New" w:hAnsi="Courier New"/>
          <w:noProof/>
          <w:sz w:val="16"/>
          <w:highlight w:val="yellow"/>
          <w:lang w:eastAsia="en-GB"/>
        </w:rPr>
        <w:t>,</w:t>
      </w:r>
    </w:p>
    <w:p w14:paraId="1B2AA6A0" w14:textId="03A586AA" w:rsidR="00D80752"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highlight w:val="yellow"/>
          <w:lang w:eastAsia="en-GB"/>
        </w:rPr>
        <w:t xml:space="preserve">    [[</w:t>
      </w:r>
    </w:p>
    <w:p w14:paraId="5919F9CC" w14:textId="6BB14D15" w:rsidR="005057C6"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57C6">
        <w:rPr>
          <w:rFonts w:ascii="Courier New" w:hAnsi="Courier New"/>
          <w:noProof/>
          <w:sz w:val="16"/>
          <w:highlight w:val="green"/>
          <w:lang w:eastAsia="en-GB"/>
        </w:rPr>
        <w:t xml:space="preserve">   </w:t>
      </w:r>
      <w:r w:rsidR="005057C6" w:rsidRPr="005057C6">
        <w:rPr>
          <w:rFonts w:ascii="Courier New" w:hAnsi="Courier New"/>
          <w:noProof/>
          <w:sz w:val="16"/>
          <w:highlight w:val="green"/>
          <w:lang w:eastAsia="en-GB"/>
        </w:rPr>
        <w:t xml:space="preserve"> trp-SpecificPHR-r17                 </w:t>
      </w:r>
      <w:r w:rsidR="005057C6" w:rsidRPr="005057C6">
        <w:rPr>
          <w:rFonts w:ascii="Courier New" w:hAnsi="Courier New"/>
          <w:noProof/>
          <w:color w:val="993366"/>
          <w:sz w:val="16"/>
          <w:highlight w:val="green"/>
          <w:lang w:eastAsia="en-GB"/>
        </w:rPr>
        <w:t>ENUMERATED</w:t>
      </w:r>
      <w:r w:rsidR="005057C6" w:rsidRPr="005057C6">
        <w:rPr>
          <w:rFonts w:ascii="Courier New" w:hAnsi="Courier New"/>
          <w:noProof/>
          <w:sz w:val="16"/>
          <w:highlight w:val="green"/>
          <w:lang w:eastAsia="en-GB"/>
        </w:rPr>
        <w:t xml:space="preserve"> {true}                                      </w:t>
      </w:r>
      <w:r w:rsidR="005057C6" w:rsidRPr="005057C6">
        <w:rPr>
          <w:rFonts w:ascii="Courier New" w:hAnsi="Courier New"/>
          <w:noProof/>
          <w:color w:val="993366"/>
          <w:sz w:val="16"/>
          <w:highlight w:val="green"/>
          <w:lang w:eastAsia="en-GB"/>
        </w:rPr>
        <w:t>OPTIONAL</w:t>
      </w:r>
      <w:r w:rsidR="00B7645C">
        <w:rPr>
          <w:rFonts w:ascii="Courier New" w:hAnsi="Courier New"/>
          <w:noProof/>
          <w:color w:val="993366"/>
          <w:sz w:val="16"/>
          <w:highlight w:val="green"/>
          <w:lang w:eastAsia="en-GB"/>
        </w:rPr>
        <w:t>,</w:t>
      </w:r>
      <w:r w:rsidR="005057C6" w:rsidRPr="005057C6">
        <w:rPr>
          <w:rFonts w:ascii="Courier New" w:hAnsi="Courier New"/>
          <w:noProof/>
          <w:sz w:val="16"/>
          <w:highlight w:val="green"/>
          <w:lang w:eastAsia="en-GB"/>
        </w:rPr>
        <w:t xml:space="preserve">     </w:t>
      </w:r>
      <w:r w:rsidR="005057C6" w:rsidRPr="005057C6">
        <w:rPr>
          <w:rFonts w:ascii="Courier New" w:hAnsi="Courier New"/>
          <w:noProof/>
          <w:color w:val="808080"/>
          <w:sz w:val="16"/>
          <w:highlight w:val="green"/>
          <w:lang w:eastAsia="en-GB"/>
        </w:rPr>
        <w:t>-- Need R</w:t>
      </w:r>
    </w:p>
    <w:p w14:paraId="4E4707D0" w14:textId="5DEC9B98"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D32E67">
        <w:rPr>
          <w:rFonts w:ascii="Courier New" w:hAnsi="Courier New"/>
          <w:noProof/>
          <w:sz w:val="16"/>
          <w:highlight w:val="yellow"/>
          <w:lang w:eastAsia="en-GB"/>
        </w:rPr>
        <w:t xml:space="preserve">    mpe-Reporting-FR2-r17               SetupRelease { MPE-Config-FR2-r17 }                     </w:t>
      </w:r>
      <w:r w:rsidRPr="00D32E67">
        <w:rPr>
          <w:rFonts w:ascii="Courier New" w:hAnsi="Courier New"/>
          <w:noProof/>
          <w:color w:val="993366"/>
          <w:sz w:val="16"/>
          <w:highlight w:val="yellow"/>
          <w:lang w:eastAsia="en-GB"/>
        </w:rPr>
        <w:t>OPTIONAL</w:t>
      </w:r>
      <w:r w:rsidRPr="00D32E67">
        <w:rPr>
          <w:rFonts w:ascii="Courier New" w:hAnsi="Courier New"/>
          <w:noProof/>
          <w:sz w:val="16"/>
          <w:highlight w:val="yellow"/>
          <w:lang w:eastAsia="en-GB"/>
        </w:rPr>
        <w:t xml:space="preserve">     </w:t>
      </w:r>
      <w:r w:rsidRPr="00D32E67">
        <w:rPr>
          <w:rFonts w:ascii="Courier New" w:hAnsi="Courier New"/>
          <w:noProof/>
          <w:color w:val="808080"/>
          <w:sz w:val="16"/>
          <w:highlight w:val="yellow"/>
          <w:lang w:eastAsia="en-GB"/>
        </w:rPr>
        <w:t>-- Need M</w:t>
      </w:r>
    </w:p>
    <w:p w14:paraId="16039F8A"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highlight w:val="yellow"/>
          <w:lang w:eastAsia="en-GB"/>
        </w:rPr>
        <w:t xml:space="preserve">    ]]</w:t>
      </w:r>
    </w:p>
    <w:p w14:paraId="240C36F8" w14:textId="77777777" w:rsidR="00D80752" w:rsidRPr="00D32E67" w:rsidRDefault="00D80752" w:rsidP="00D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w:t>
      </w:r>
    </w:p>
    <w:p w14:paraId="06378DE4" w14:textId="77777777" w:rsidR="00D80752" w:rsidRDefault="00D80752" w:rsidP="00A209D6">
      <w:pPr>
        <w:rPr>
          <w:bCs/>
        </w:rPr>
      </w:pPr>
    </w:p>
    <w:p w14:paraId="4E770442" w14:textId="37A01C4A" w:rsidR="00D80752" w:rsidRPr="005C6B0E" w:rsidRDefault="00D80752" w:rsidP="00A209D6">
      <w:pPr>
        <w:rPr>
          <w:bCs/>
        </w:rPr>
      </w:pPr>
      <w:r w:rsidRPr="00D80752">
        <w:rPr>
          <w:b/>
        </w:rPr>
        <w:t xml:space="preserve">Proposal </w:t>
      </w:r>
      <w:r w:rsidR="00BB36AF">
        <w:rPr>
          <w:b/>
        </w:rPr>
        <w:t>9</w:t>
      </w:r>
      <w:r w:rsidRPr="00D80752">
        <w:rPr>
          <w:b/>
        </w:rPr>
        <w:t xml:space="preserve">: </w:t>
      </w:r>
      <w:r>
        <w:rPr>
          <w:bCs/>
        </w:rPr>
        <w:t xml:space="preserve">Adopt explicit RRC configuration of TRP-specific PHR </w:t>
      </w:r>
      <w:r w:rsidR="00784B97">
        <w:rPr>
          <w:bCs/>
        </w:rPr>
        <w:t>within PHR-Config</w:t>
      </w:r>
      <w:r>
        <w:rPr>
          <w:bCs/>
        </w:rPr>
        <w:t>.</w:t>
      </w:r>
    </w:p>
    <w:p w14:paraId="5FF2457F" w14:textId="146A0F50" w:rsidR="00A209D6" w:rsidRPr="006E13D1" w:rsidRDefault="00A14458" w:rsidP="00A209D6">
      <w:pPr>
        <w:pStyle w:val="Heading1"/>
      </w:pPr>
      <w:r>
        <w:t>3</w:t>
      </w:r>
      <w:r w:rsidR="00A209D6"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70E12064" w14:textId="77777777" w:rsidR="003D412A" w:rsidRDefault="003D412A" w:rsidP="003D412A">
      <w:r w:rsidRPr="00576249">
        <w:rPr>
          <w:b/>
          <w:bCs/>
        </w:rPr>
        <w:t>Observation 1:</w:t>
      </w:r>
      <w:r>
        <w:t xml:space="preserve"> Reporting CRI or SSBRI requires 6 bits in Rel-15, so the Rel-17 P-MPR reporting requires 6-7 for the SSBRI/CRI signalling MAC CE.</w:t>
      </w:r>
    </w:p>
    <w:p w14:paraId="0869290D" w14:textId="43DA2E07" w:rsidR="005C6B0E" w:rsidRPr="00D70749" w:rsidRDefault="005C6B0E" w:rsidP="005C6B0E">
      <w:r>
        <w:rPr>
          <w:b/>
          <w:bCs/>
        </w:rPr>
        <w:lastRenderedPageBreak/>
        <w:t>Observation 2:</w:t>
      </w:r>
      <w:r>
        <w:t xml:space="preserve"> Rel-17 MPE </w:t>
      </w:r>
      <w:r w:rsidR="00A14458">
        <w:t>configuration</w:t>
      </w:r>
      <w:r>
        <w:t xml:space="preserve"> need not duplicate the Rel-16 MPE configuration.</w:t>
      </w:r>
    </w:p>
    <w:p w14:paraId="104CD1D0" w14:textId="77777777" w:rsidR="00EA37FB" w:rsidRDefault="00EA37FB" w:rsidP="00EA37FB">
      <w:r w:rsidRPr="00DD7E63">
        <w:rPr>
          <w:b/>
          <w:bCs/>
        </w:rPr>
        <w:t xml:space="preserve">Observation </w:t>
      </w:r>
      <w:r>
        <w:rPr>
          <w:b/>
          <w:bCs/>
        </w:rPr>
        <w:t>3</w:t>
      </w:r>
      <w:r w:rsidRPr="00DD7E63">
        <w:rPr>
          <w:b/>
          <w:bCs/>
        </w:rPr>
        <w:t>:</w:t>
      </w:r>
      <w:r>
        <w:t xml:space="preserve"> Rel-17 Multi-TRP requires UE to duplicate the existing PH report for each serving cell using mTRP, i.e. the fields P, PH,  (MPE or R) and PCMAX,f,c for both TRP1 and TRP2.</w:t>
      </w:r>
    </w:p>
    <w:p w14:paraId="3B2AE6DD" w14:textId="59620CB0" w:rsidR="005C6B0E" w:rsidRDefault="005C6B0E" w:rsidP="005C6B0E">
      <w:r w:rsidRPr="00B84DB2">
        <w:rPr>
          <w:b/>
        </w:rPr>
        <w:t xml:space="preserve">Observation </w:t>
      </w:r>
      <w:r w:rsidR="00770F7F">
        <w:rPr>
          <w:b/>
        </w:rPr>
        <w:t>4</w:t>
      </w:r>
      <w:r w:rsidRPr="007A2E55">
        <w:rPr>
          <w:bCs/>
        </w:rPr>
        <w:t>:</w:t>
      </w:r>
      <w:r>
        <w:t xml:space="preserve"> Addition of mTRP-based reporting adds a fixed 2 octet overhead per reported serving cell to PHR MAC CE. </w:t>
      </w:r>
    </w:p>
    <w:p w14:paraId="455F9842" w14:textId="3BA2EC37" w:rsidR="004F4540" w:rsidRPr="004F4540" w:rsidRDefault="004F4540" w:rsidP="004F73A7">
      <w:pPr>
        <w:rPr>
          <w:bCs/>
        </w:rPr>
      </w:pPr>
      <w:r>
        <w:rPr>
          <w:bCs/>
        </w:rPr>
        <w:t>And proposed the following:</w:t>
      </w:r>
    </w:p>
    <w:p w14:paraId="4BE240E0" w14:textId="77777777" w:rsidR="005C6B0E" w:rsidRPr="00642D61" w:rsidRDefault="005C6B0E" w:rsidP="005C6B0E">
      <w:r w:rsidRPr="00642D61">
        <w:rPr>
          <w:b/>
          <w:bCs/>
        </w:rPr>
        <w:t xml:space="preserve">Proposal </w:t>
      </w:r>
      <w:r>
        <w:rPr>
          <w:b/>
          <w:bCs/>
        </w:rPr>
        <w:t>1</w:t>
      </w:r>
      <w:r w:rsidRPr="00642D61">
        <w:rPr>
          <w:b/>
          <w:bCs/>
        </w:rPr>
        <w:t>:</w:t>
      </w:r>
      <w:r w:rsidRPr="00642D61">
        <w:t xml:space="preserve"> </w:t>
      </w:r>
      <w:r>
        <w:t xml:space="preserve">RRC </w:t>
      </w:r>
      <w:r w:rsidRPr="00642D61">
        <w:t xml:space="preserve">configuration </w:t>
      </w:r>
      <w:r>
        <w:t xml:space="preserve">for Rel-17 MPE shall be extendible without duplicating </w:t>
      </w:r>
      <w:r w:rsidRPr="00642D61">
        <w:t xml:space="preserve">the Rel-16 </w:t>
      </w:r>
      <w:r>
        <w:t>fields</w:t>
      </w:r>
      <w:r w:rsidRPr="00642D61">
        <w:t>.</w:t>
      </w:r>
    </w:p>
    <w:p w14:paraId="41DFAB70" w14:textId="77777777" w:rsidR="005C6B0E" w:rsidRDefault="005C6B0E" w:rsidP="005C6B0E">
      <w:r w:rsidRPr="00642D61">
        <w:rPr>
          <w:b/>
          <w:bCs/>
        </w:rPr>
        <w:t xml:space="preserve">Proposal </w:t>
      </w:r>
      <w:r>
        <w:rPr>
          <w:b/>
          <w:bCs/>
        </w:rPr>
        <w:t>2</w:t>
      </w:r>
      <w:r w:rsidRPr="00642D61">
        <w:rPr>
          <w:b/>
          <w:bCs/>
        </w:rPr>
        <w:t>:</w:t>
      </w:r>
      <w:r w:rsidRPr="00642D61">
        <w:t xml:space="preserve"> The Rel-17 MPE resource pool </w:t>
      </w:r>
      <w:r>
        <w:t xml:space="preserve">is </w:t>
      </w:r>
      <w:r w:rsidRPr="00642D61">
        <w:t>cell-specific</w:t>
      </w:r>
      <w:r>
        <w:t xml:space="preserve"> configuration</w:t>
      </w:r>
      <w:r w:rsidRPr="00642D61">
        <w:t>.</w:t>
      </w:r>
    </w:p>
    <w:p w14:paraId="3CC0CE44" w14:textId="77777777" w:rsidR="005C6B0E" w:rsidRPr="00576249" w:rsidRDefault="005C6B0E" w:rsidP="005C6B0E">
      <w:pPr>
        <w:rPr>
          <w:bCs/>
        </w:rPr>
      </w:pPr>
      <w:r w:rsidRPr="00D92E6A">
        <w:rPr>
          <w:b/>
        </w:rPr>
        <w:t xml:space="preserve">Proposal </w:t>
      </w:r>
      <w:r>
        <w:rPr>
          <w:b/>
        </w:rPr>
        <w:t>3</w:t>
      </w:r>
      <w:r w:rsidRPr="00D92E6A">
        <w:rPr>
          <w:b/>
        </w:rPr>
        <w:t>:</w:t>
      </w:r>
      <w:r>
        <w:rPr>
          <w:bCs/>
        </w:rPr>
        <w:t xml:space="preserve"> RAN2 to discuss whether to define the (cell-specific) configuration of MPE resource pool in </w:t>
      </w:r>
      <w:r w:rsidRPr="00D92E6A">
        <w:rPr>
          <w:bCs/>
          <w:i/>
          <w:iCs/>
        </w:rPr>
        <w:t>PHR-Config</w:t>
      </w:r>
      <w:r>
        <w:rPr>
          <w:bCs/>
        </w:rPr>
        <w:t xml:space="preserve"> or in </w:t>
      </w:r>
      <w:r w:rsidRPr="00D92E6A">
        <w:rPr>
          <w:bCs/>
          <w:i/>
          <w:iCs/>
        </w:rPr>
        <w:t>ServingCellConfig</w:t>
      </w:r>
      <w:r>
        <w:rPr>
          <w:bCs/>
        </w:rPr>
        <w:t>.</w:t>
      </w:r>
    </w:p>
    <w:p w14:paraId="4BB5D3BB" w14:textId="77777777" w:rsidR="005C6B0E" w:rsidRDefault="005C6B0E" w:rsidP="005C6B0E">
      <w:r w:rsidRPr="00D70749">
        <w:rPr>
          <w:b/>
          <w:bCs/>
        </w:rPr>
        <w:t xml:space="preserve">Proposal </w:t>
      </w:r>
      <w:r>
        <w:rPr>
          <w:b/>
          <w:bCs/>
        </w:rPr>
        <w:t>4</w:t>
      </w:r>
      <w:r w:rsidRPr="00D70749">
        <w:rPr>
          <w:b/>
          <w:bCs/>
        </w:rPr>
        <w:t>:</w:t>
      </w:r>
      <w:r>
        <w:t xml:space="preserve"> Rel-17 MPE reporting is added to PHR MAC CE as extension to Rel-16 MPE reporting. UE shall always use the Rel-17 P-MPR reporting format when both the Rel-16 and Rel-16 MPE configuration are provided. </w:t>
      </w:r>
    </w:p>
    <w:p w14:paraId="0F4F922A" w14:textId="77777777" w:rsidR="004A7991" w:rsidRDefault="004A7991" w:rsidP="004A7991">
      <w:r w:rsidRPr="007A0020">
        <w:rPr>
          <w:b/>
          <w:bCs/>
        </w:rPr>
        <w:t>Proposal 5:</w:t>
      </w:r>
      <w:r>
        <w:t xml:space="preserve"> The Rel-17 PHR MAC CE should indicates 0-4 "beam information" contents, with each "beam information" containing P-bit, 2-bit MPE field, beam identification field and P</w:t>
      </w:r>
      <w:r w:rsidRPr="00F404AB">
        <w:rPr>
          <w:vertAlign w:val="subscript"/>
        </w:rPr>
        <w:t>CMAX,f,c</w:t>
      </w:r>
      <w:r>
        <w:t xml:space="preserve"> field.</w:t>
      </w:r>
    </w:p>
    <w:p w14:paraId="7AA6FC84" w14:textId="77777777" w:rsidR="004A7991" w:rsidRDefault="004A7991" w:rsidP="004A7991">
      <w:r w:rsidRPr="00F404AB">
        <w:rPr>
          <w:b/>
          <w:bCs/>
        </w:rPr>
        <w:t xml:space="preserve">Proposal </w:t>
      </w:r>
      <w:r>
        <w:rPr>
          <w:b/>
          <w:bCs/>
        </w:rPr>
        <w:t>6</w:t>
      </w:r>
      <w:r w:rsidRPr="00F404AB">
        <w:rPr>
          <w:b/>
          <w:bCs/>
        </w:rPr>
        <w:t>:</w:t>
      </w:r>
      <w:r>
        <w:t xml:space="preserve"> Reserve 6 bits for the CRI/SSBRI (i.e. beam index) reporting for the Rel-17 PHR MAC CE. The field indicates the resource index configured in RRC for the MPE resource pool.</w:t>
      </w:r>
    </w:p>
    <w:p w14:paraId="76AE38D6" w14:textId="77777777" w:rsidR="004A7991" w:rsidRPr="00A019A4" w:rsidRDefault="004A7991" w:rsidP="004A7991">
      <w:pPr>
        <w:rPr>
          <w:bCs/>
        </w:rPr>
      </w:pPr>
      <w:r w:rsidRPr="00DD7E63">
        <w:rPr>
          <w:b/>
        </w:rPr>
        <w:t xml:space="preserve">Proposal </w:t>
      </w:r>
      <w:r>
        <w:rPr>
          <w:b/>
        </w:rPr>
        <w:t>7</w:t>
      </w:r>
      <w:r w:rsidRPr="00DD7E63">
        <w:rPr>
          <w:b/>
        </w:rPr>
        <w:t>:</w:t>
      </w:r>
      <w:r>
        <w:rPr>
          <w:bCs/>
        </w:rPr>
        <w:t xml:space="preserve"> Align the design of single-entry and multi-entry formats of PHR MAC CE for Rel-17 P-MPR reporting.</w:t>
      </w:r>
    </w:p>
    <w:p w14:paraId="7B1B5245" w14:textId="4F6FB521" w:rsidR="005C6B0E" w:rsidRDefault="005C6B0E" w:rsidP="005C6B0E">
      <w:pPr>
        <w:rPr>
          <w:bCs/>
        </w:rPr>
      </w:pPr>
      <w:r w:rsidRPr="00DD7E63">
        <w:rPr>
          <w:b/>
        </w:rPr>
        <w:t xml:space="preserve">Proposal </w:t>
      </w:r>
      <w:r w:rsidR="004A7991">
        <w:rPr>
          <w:b/>
        </w:rPr>
        <w:t>8</w:t>
      </w:r>
      <w:r w:rsidRPr="00DD7E63">
        <w:rPr>
          <w:b/>
        </w:rPr>
        <w:t>:</w:t>
      </w:r>
      <w:r>
        <w:rPr>
          <w:bCs/>
        </w:rPr>
        <w:t xml:space="preserve"> RAN2 to design PHR MAC CE so that mTRP and MPE reporting can be included at the same time. If RAN1 indicates this is not possible, RRC configuration can include restriction that Rel-17 P-MPR reporting and  Rel-17 mTRP cannot be configured at the same time. </w:t>
      </w:r>
    </w:p>
    <w:p w14:paraId="69E57B4A" w14:textId="7782EE07" w:rsidR="00AA317D" w:rsidRDefault="0072473B" w:rsidP="0072473B">
      <w:pPr>
        <w:rPr>
          <w:rFonts w:ascii="Arial" w:hAnsi="Arial"/>
          <w:sz w:val="36"/>
        </w:rPr>
      </w:pPr>
      <w:r w:rsidRPr="00D80752">
        <w:rPr>
          <w:b/>
        </w:rPr>
        <w:t xml:space="preserve">Proposal </w:t>
      </w:r>
      <w:r w:rsidR="004A7991">
        <w:rPr>
          <w:b/>
        </w:rPr>
        <w:t>9</w:t>
      </w:r>
      <w:r w:rsidRPr="00D80752">
        <w:rPr>
          <w:b/>
        </w:rPr>
        <w:t xml:space="preserve">: </w:t>
      </w:r>
      <w:r>
        <w:rPr>
          <w:bCs/>
        </w:rPr>
        <w:t>Adopt explicit RRC configuration of TRP-specific PHR</w:t>
      </w:r>
      <w:r w:rsidR="00784B97">
        <w:rPr>
          <w:bCs/>
        </w:rPr>
        <w:t xml:space="preserve"> within PHR-Config</w:t>
      </w:r>
      <w:r>
        <w:rPr>
          <w:bCs/>
        </w:rPr>
        <w:t>.</w:t>
      </w:r>
      <w:bookmarkStart w:id="0" w:name="_Toc60777305"/>
      <w:bookmarkStart w:id="1" w:name="_Toc83740260"/>
      <w:r w:rsidR="00AA317D">
        <w:br w:type="page"/>
      </w:r>
    </w:p>
    <w:p w14:paraId="0CDEE53C" w14:textId="77777777" w:rsidR="00AA317D" w:rsidRDefault="00AA317D" w:rsidP="00AA317D">
      <w:pPr>
        <w:pStyle w:val="Heading1"/>
        <w:sectPr w:rsidR="00AA317D">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pPr>
    </w:p>
    <w:p w14:paraId="35ADD6BA" w14:textId="5AEB3B16" w:rsidR="00AA317D" w:rsidRPr="006E13D1" w:rsidRDefault="00AA317D" w:rsidP="00AA317D">
      <w:pPr>
        <w:pStyle w:val="Heading1"/>
      </w:pPr>
      <w:r>
        <w:lastRenderedPageBreak/>
        <w:t xml:space="preserve">Annex A: </w:t>
      </w:r>
      <w:r w:rsidR="00E86513">
        <w:t xml:space="preserve">Proposed </w:t>
      </w:r>
      <w:r>
        <w:t>MPE configuration</w:t>
      </w:r>
      <w:r w:rsidR="00DD7E63">
        <w:t xml:space="preserve"> in </w:t>
      </w:r>
      <w:hyperlink r:id="rId32" w:history="1">
        <w:r w:rsidR="00DD7E63" w:rsidRPr="00DD0482">
          <w:rPr>
            <w:rStyle w:val="Hyperlink"/>
          </w:rPr>
          <w:t>R2-2200016</w:t>
        </w:r>
      </w:hyperlink>
    </w:p>
    <w:p w14:paraId="6D8BEB84" w14:textId="77777777" w:rsidR="00AA317D" w:rsidRPr="00AA317D" w:rsidRDefault="00AA317D" w:rsidP="00AA317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A317D">
        <w:rPr>
          <w:rFonts w:ascii="Arial" w:hAnsi="Arial"/>
          <w:sz w:val="24"/>
          <w:lang w:eastAsia="ja-JP"/>
        </w:rPr>
        <w:t>–</w:t>
      </w:r>
      <w:r w:rsidRPr="00AA317D">
        <w:rPr>
          <w:rFonts w:ascii="Arial" w:hAnsi="Arial"/>
          <w:sz w:val="24"/>
          <w:lang w:eastAsia="ja-JP"/>
        </w:rPr>
        <w:tab/>
      </w:r>
      <w:r w:rsidRPr="00AA317D">
        <w:rPr>
          <w:rFonts w:ascii="Arial" w:hAnsi="Arial"/>
          <w:i/>
          <w:sz w:val="24"/>
          <w:lang w:eastAsia="ja-JP"/>
        </w:rPr>
        <w:t>PHR-Config</w:t>
      </w:r>
      <w:bookmarkEnd w:id="0"/>
      <w:bookmarkEnd w:id="1"/>
    </w:p>
    <w:p w14:paraId="2BD723EF" w14:textId="77777777" w:rsidR="00AA317D" w:rsidRPr="00AA317D" w:rsidRDefault="00AA317D" w:rsidP="00AA317D">
      <w:pPr>
        <w:overflowPunct w:val="0"/>
        <w:autoSpaceDE w:val="0"/>
        <w:autoSpaceDN w:val="0"/>
        <w:adjustRightInd w:val="0"/>
        <w:textAlignment w:val="baseline"/>
        <w:rPr>
          <w:lang w:eastAsia="ja-JP"/>
        </w:rPr>
      </w:pPr>
      <w:r w:rsidRPr="00AA317D">
        <w:rPr>
          <w:lang w:eastAsia="ja-JP"/>
        </w:rPr>
        <w:t xml:space="preserve">The IE </w:t>
      </w:r>
      <w:r w:rsidRPr="00AA317D">
        <w:rPr>
          <w:i/>
          <w:lang w:eastAsia="ja-JP"/>
        </w:rPr>
        <w:t>PHR-Config</w:t>
      </w:r>
      <w:r w:rsidRPr="00AA317D">
        <w:rPr>
          <w:lang w:eastAsia="ja-JP"/>
        </w:rPr>
        <w:t xml:space="preserve"> is used to configure parameters for power headroom reporting.</w:t>
      </w:r>
    </w:p>
    <w:p w14:paraId="778A60C3" w14:textId="77777777" w:rsidR="00AA317D" w:rsidRPr="00AA317D" w:rsidRDefault="00AA317D" w:rsidP="00AA317D">
      <w:pPr>
        <w:keepNext/>
        <w:keepLines/>
        <w:overflowPunct w:val="0"/>
        <w:autoSpaceDE w:val="0"/>
        <w:autoSpaceDN w:val="0"/>
        <w:adjustRightInd w:val="0"/>
        <w:spacing w:before="60"/>
        <w:jc w:val="center"/>
        <w:textAlignment w:val="baseline"/>
        <w:rPr>
          <w:rFonts w:ascii="Arial" w:hAnsi="Arial"/>
          <w:b/>
          <w:lang w:eastAsia="ja-JP"/>
        </w:rPr>
      </w:pPr>
      <w:r w:rsidRPr="00AA317D">
        <w:rPr>
          <w:rFonts w:ascii="Arial" w:hAnsi="Arial"/>
          <w:b/>
          <w:i/>
          <w:lang w:eastAsia="ja-JP"/>
        </w:rPr>
        <w:t>PHR-Config</w:t>
      </w:r>
      <w:r w:rsidRPr="00AA317D">
        <w:rPr>
          <w:rFonts w:ascii="Arial" w:hAnsi="Arial"/>
          <w:b/>
          <w:lang w:eastAsia="ja-JP"/>
        </w:rPr>
        <w:t xml:space="preserve"> information element</w:t>
      </w:r>
    </w:p>
    <w:p w14:paraId="12AF09FC"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317D">
        <w:rPr>
          <w:rFonts w:ascii="Courier New" w:hAnsi="Courier New"/>
          <w:noProof/>
          <w:color w:val="808080"/>
          <w:sz w:val="16"/>
          <w:lang w:eastAsia="en-GB"/>
        </w:rPr>
        <w:t>-- ASN1START</w:t>
      </w:r>
    </w:p>
    <w:p w14:paraId="601EC6D0"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317D">
        <w:rPr>
          <w:rFonts w:ascii="Courier New" w:hAnsi="Courier New"/>
          <w:noProof/>
          <w:color w:val="808080"/>
          <w:sz w:val="16"/>
          <w:lang w:eastAsia="en-GB"/>
        </w:rPr>
        <w:t>-- TAG-PHR-CONFIG-START</w:t>
      </w:r>
    </w:p>
    <w:p w14:paraId="17BDF13B"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DC2BD6"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 xml:space="preserve">PHR-Config ::=                      </w:t>
      </w:r>
      <w:r w:rsidRPr="00AA317D">
        <w:rPr>
          <w:rFonts w:ascii="Courier New" w:hAnsi="Courier New"/>
          <w:noProof/>
          <w:color w:val="993366"/>
          <w:sz w:val="16"/>
          <w:lang w:eastAsia="en-GB"/>
        </w:rPr>
        <w:t>SEQUENCE</w:t>
      </w:r>
      <w:r w:rsidRPr="00AA317D">
        <w:rPr>
          <w:rFonts w:ascii="Courier New" w:hAnsi="Courier New"/>
          <w:noProof/>
          <w:sz w:val="16"/>
          <w:lang w:eastAsia="en-GB"/>
        </w:rPr>
        <w:t xml:space="preserve"> {</w:t>
      </w:r>
    </w:p>
    <w:p w14:paraId="558AB4EA"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 xml:space="preserve">    phr-PeriodicTimer                   </w:t>
      </w:r>
      <w:r w:rsidRPr="00AA317D">
        <w:rPr>
          <w:rFonts w:ascii="Courier New" w:hAnsi="Courier New"/>
          <w:noProof/>
          <w:color w:val="993366"/>
          <w:sz w:val="16"/>
          <w:lang w:eastAsia="en-GB"/>
        </w:rPr>
        <w:t>ENUMERATED</w:t>
      </w:r>
      <w:r w:rsidRPr="00AA317D">
        <w:rPr>
          <w:rFonts w:ascii="Courier New" w:hAnsi="Courier New"/>
          <w:noProof/>
          <w:sz w:val="16"/>
          <w:lang w:eastAsia="en-GB"/>
        </w:rPr>
        <w:t xml:space="preserve"> {sf10, sf20, sf50, sf100, sf200,sf500, sf1000, infinity},</w:t>
      </w:r>
    </w:p>
    <w:p w14:paraId="454B5EBB"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 xml:space="preserve">    phr-ProhibitTimer                   </w:t>
      </w:r>
      <w:r w:rsidRPr="00AA317D">
        <w:rPr>
          <w:rFonts w:ascii="Courier New" w:hAnsi="Courier New"/>
          <w:noProof/>
          <w:color w:val="993366"/>
          <w:sz w:val="16"/>
          <w:lang w:eastAsia="en-GB"/>
        </w:rPr>
        <w:t>ENUMERATED</w:t>
      </w:r>
      <w:r w:rsidRPr="00AA317D">
        <w:rPr>
          <w:rFonts w:ascii="Courier New" w:hAnsi="Courier New"/>
          <w:noProof/>
          <w:sz w:val="16"/>
          <w:lang w:eastAsia="en-GB"/>
        </w:rPr>
        <w:t xml:space="preserve"> {sf0, sf10, sf20, sf50, sf100,sf200, sf500, sf1000},</w:t>
      </w:r>
    </w:p>
    <w:p w14:paraId="777E1115"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 xml:space="preserve">    phr-Tx-PowerFactorChange            </w:t>
      </w:r>
      <w:r w:rsidRPr="00AA317D">
        <w:rPr>
          <w:rFonts w:ascii="Courier New" w:hAnsi="Courier New"/>
          <w:noProof/>
          <w:color w:val="993366"/>
          <w:sz w:val="16"/>
          <w:lang w:eastAsia="en-GB"/>
        </w:rPr>
        <w:t>ENUMERATED</w:t>
      </w:r>
      <w:r w:rsidRPr="00AA317D">
        <w:rPr>
          <w:rFonts w:ascii="Courier New" w:hAnsi="Courier New"/>
          <w:noProof/>
          <w:sz w:val="16"/>
          <w:lang w:eastAsia="en-GB"/>
        </w:rPr>
        <w:t xml:space="preserve"> {dB1, dB3, dB6, infinity},</w:t>
      </w:r>
    </w:p>
    <w:p w14:paraId="3A625B13"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 xml:space="preserve">    multiplePHR                         </w:t>
      </w:r>
      <w:r w:rsidRPr="00AA317D">
        <w:rPr>
          <w:rFonts w:ascii="Courier New" w:hAnsi="Courier New"/>
          <w:noProof/>
          <w:color w:val="993366"/>
          <w:sz w:val="16"/>
          <w:lang w:eastAsia="en-GB"/>
        </w:rPr>
        <w:t>BOOLEAN</w:t>
      </w:r>
      <w:r w:rsidRPr="00AA317D">
        <w:rPr>
          <w:rFonts w:ascii="Courier New" w:hAnsi="Courier New"/>
          <w:noProof/>
          <w:sz w:val="16"/>
          <w:lang w:eastAsia="en-GB"/>
        </w:rPr>
        <w:t>,</w:t>
      </w:r>
    </w:p>
    <w:p w14:paraId="6A4CB8E6"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 xml:space="preserve">    dummy                               </w:t>
      </w:r>
      <w:r w:rsidRPr="00AA317D">
        <w:rPr>
          <w:rFonts w:ascii="Courier New" w:hAnsi="Courier New"/>
          <w:noProof/>
          <w:color w:val="993366"/>
          <w:sz w:val="16"/>
          <w:lang w:eastAsia="en-GB"/>
        </w:rPr>
        <w:t>BOOLEAN</w:t>
      </w:r>
      <w:r w:rsidRPr="00AA317D">
        <w:rPr>
          <w:rFonts w:ascii="Courier New" w:hAnsi="Courier New"/>
          <w:noProof/>
          <w:sz w:val="16"/>
          <w:lang w:eastAsia="en-GB"/>
        </w:rPr>
        <w:t>,</w:t>
      </w:r>
    </w:p>
    <w:p w14:paraId="1C5E36F5"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 xml:space="preserve">    phr-Type2OtherCell                  </w:t>
      </w:r>
      <w:r w:rsidRPr="00AA317D">
        <w:rPr>
          <w:rFonts w:ascii="Courier New" w:hAnsi="Courier New"/>
          <w:noProof/>
          <w:color w:val="993366"/>
          <w:sz w:val="16"/>
          <w:lang w:eastAsia="en-GB"/>
        </w:rPr>
        <w:t>BOOLEAN</w:t>
      </w:r>
      <w:r w:rsidRPr="00AA317D">
        <w:rPr>
          <w:rFonts w:ascii="Courier New" w:hAnsi="Courier New"/>
          <w:noProof/>
          <w:sz w:val="16"/>
          <w:lang w:eastAsia="en-GB"/>
        </w:rPr>
        <w:t>,</w:t>
      </w:r>
    </w:p>
    <w:p w14:paraId="656F21F4"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 xml:space="preserve">    phr-ModeOtherCG                     </w:t>
      </w:r>
      <w:r w:rsidRPr="00AA317D">
        <w:rPr>
          <w:rFonts w:ascii="Courier New" w:hAnsi="Courier New"/>
          <w:noProof/>
          <w:color w:val="993366"/>
          <w:sz w:val="16"/>
          <w:lang w:eastAsia="en-GB"/>
        </w:rPr>
        <w:t>ENUMERATED</w:t>
      </w:r>
      <w:r w:rsidRPr="00AA317D">
        <w:rPr>
          <w:rFonts w:ascii="Courier New" w:hAnsi="Courier New"/>
          <w:noProof/>
          <w:sz w:val="16"/>
          <w:lang w:eastAsia="en-GB"/>
        </w:rPr>
        <w:t xml:space="preserve"> {real, virtual},</w:t>
      </w:r>
    </w:p>
    <w:p w14:paraId="73767C62"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 xml:space="preserve">    ...,</w:t>
      </w:r>
    </w:p>
    <w:p w14:paraId="238EA747"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 xml:space="preserve">    [[</w:t>
      </w:r>
    </w:p>
    <w:p w14:paraId="32B40305"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317D">
        <w:rPr>
          <w:rFonts w:ascii="Courier New" w:hAnsi="Courier New"/>
          <w:noProof/>
          <w:sz w:val="16"/>
          <w:lang w:eastAsia="en-GB"/>
        </w:rPr>
        <w:t xml:space="preserve">    mpe-Reporting-FR2-r16               SetupRelease { MPE-Config-FR2-r16 }                     </w:t>
      </w:r>
      <w:r w:rsidRPr="00AA317D">
        <w:rPr>
          <w:rFonts w:ascii="Courier New" w:hAnsi="Courier New"/>
          <w:noProof/>
          <w:color w:val="993366"/>
          <w:sz w:val="16"/>
          <w:lang w:eastAsia="en-GB"/>
        </w:rPr>
        <w:t>OPTIONAL</w:t>
      </w:r>
      <w:r w:rsidRPr="00AA317D">
        <w:rPr>
          <w:rFonts w:ascii="Courier New" w:hAnsi="Courier New"/>
          <w:noProof/>
          <w:sz w:val="16"/>
          <w:lang w:eastAsia="en-GB"/>
        </w:rPr>
        <w:t xml:space="preserve">     </w:t>
      </w:r>
      <w:r w:rsidRPr="00AA317D">
        <w:rPr>
          <w:rFonts w:ascii="Courier New" w:hAnsi="Courier New"/>
          <w:noProof/>
          <w:color w:val="808080"/>
          <w:sz w:val="16"/>
          <w:lang w:eastAsia="en-GB"/>
        </w:rPr>
        <w:t>-- Need M</w:t>
      </w:r>
    </w:p>
    <w:p w14:paraId="3EE4A172" w14:textId="66B8F797" w:rsidR="00AA317D" w:rsidRPr="00642D61"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AA317D">
        <w:rPr>
          <w:rFonts w:ascii="Courier New" w:hAnsi="Courier New"/>
          <w:noProof/>
          <w:sz w:val="16"/>
          <w:lang w:eastAsia="en-GB"/>
        </w:rPr>
        <w:t xml:space="preserve">    ]]</w:t>
      </w:r>
      <w:r w:rsidRPr="00642D61">
        <w:rPr>
          <w:rFonts w:ascii="Courier New" w:hAnsi="Courier New"/>
          <w:noProof/>
          <w:sz w:val="16"/>
          <w:highlight w:val="yellow"/>
          <w:lang w:eastAsia="en-GB"/>
        </w:rPr>
        <w:t>,</w:t>
      </w:r>
    </w:p>
    <w:p w14:paraId="641268F4" w14:textId="77777777" w:rsidR="00AA317D" w:rsidRPr="00642D61"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42D61">
        <w:rPr>
          <w:rFonts w:ascii="Courier New" w:hAnsi="Courier New"/>
          <w:noProof/>
          <w:sz w:val="16"/>
          <w:highlight w:val="yellow"/>
          <w:lang w:eastAsia="en-GB"/>
        </w:rPr>
        <w:t xml:space="preserve">    [[</w:t>
      </w:r>
    </w:p>
    <w:p w14:paraId="315150FA" w14:textId="77777777" w:rsidR="00AA317D" w:rsidRPr="00642D61"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642D61">
        <w:rPr>
          <w:rFonts w:ascii="Courier New" w:hAnsi="Courier New"/>
          <w:noProof/>
          <w:sz w:val="16"/>
          <w:highlight w:val="yellow"/>
          <w:lang w:eastAsia="en-GB"/>
        </w:rPr>
        <w:t xml:space="preserve">    mpe-Reporting-FR2-r17               SetupRelease { MPE-Config-FR2-r17 }                     </w:t>
      </w:r>
      <w:r w:rsidRPr="00642D61">
        <w:rPr>
          <w:rFonts w:ascii="Courier New" w:hAnsi="Courier New"/>
          <w:noProof/>
          <w:color w:val="993366"/>
          <w:sz w:val="16"/>
          <w:highlight w:val="yellow"/>
          <w:lang w:eastAsia="en-GB"/>
        </w:rPr>
        <w:t>OPTIONAL</w:t>
      </w:r>
      <w:r w:rsidRPr="00642D61">
        <w:rPr>
          <w:rFonts w:ascii="Courier New" w:hAnsi="Courier New"/>
          <w:noProof/>
          <w:sz w:val="16"/>
          <w:highlight w:val="yellow"/>
          <w:lang w:eastAsia="en-GB"/>
        </w:rPr>
        <w:t xml:space="preserve">     </w:t>
      </w:r>
      <w:r w:rsidRPr="00642D61">
        <w:rPr>
          <w:rFonts w:ascii="Courier New" w:hAnsi="Courier New"/>
          <w:noProof/>
          <w:color w:val="808080"/>
          <w:sz w:val="16"/>
          <w:highlight w:val="yellow"/>
          <w:lang w:eastAsia="en-GB"/>
        </w:rPr>
        <w:t>-- Need M</w:t>
      </w:r>
    </w:p>
    <w:p w14:paraId="639157F2" w14:textId="60FF420E"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D61">
        <w:rPr>
          <w:rFonts w:ascii="Courier New" w:hAnsi="Courier New"/>
          <w:noProof/>
          <w:sz w:val="16"/>
          <w:highlight w:val="yellow"/>
          <w:lang w:eastAsia="en-GB"/>
        </w:rPr>
        <w:t xml:space="preserve">    ]]</w:t>
      </w:r>
    </w:p>
    <w:p w14:paraId="59E7D287"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w:t>
      </w:r>
    </w:p>
    <w:p w14:paraId="2D84694C"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C863CC"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 xml:space="preserve">MPE-Config-FR2-r16 ::=              </w:t>
      </w:r>
      <w:r w:rsidRPr="00AA317D">
        <w:rPr>
          <w:rFonts w:ascii="Courier New" w:hAnsi="Courier New"/>
          <w:noProof/>
          <w:color w:val="993366"/>
          <w:sz w:val="16"/>
          <w:lang w:eastAsia="en-GB"/>
        </w:rPr>
        <w:t>SEQUENCE</w:t>
      </w:r>
      <w:r w:rsidRPr="00AA317D">
        <w:rPr>
          <w:rFonts w:ascii="Courier New" w:hAnsi="Courier New"/>
          <w:noProof/>
          <w:sz w:val="16"/>
          <w:lang w:eastAsia="en-GB"/>
        </w:rPr>
        <w:t xml:space="preserve"> {</w:t>
      </w:r>
    </w:p>
    <w:p w14:paraId="61A9651F"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 xml:space="preserve">    mpe-ProhibitTimer-r16               </w:t>
      </w:r>
      <w:r w:rsidRPr="00AA317D">
        <w:rPr>
          <w:rFonts w:ascii="Courier New" w:hAnsi="Courier New"/>
          <w:noProof/>
          <w:color w:val="993366"/>
          <w:sz w:val="16"/>
          <w:lang w:eastAsia="en-GB"/>
        </w:rPr>
        <w:t>ENUMERATED</w:t>
      </w:r>
      <w:r w:rsidRPr="00AA317D">
        <w:rPr>
          <w:rFonts w:ascii="Courier New" w:hAnsi="Courier New"/>
          <w:noProof/>
          <w:sz w:val="16"/>
          <w:lang w:eastAsia="en-GB"/>
        </w:rPr>
        <w:t xml:space="preserve"> {sf0, sf10, sf20, sf50, sf100, sf200, sf500, sf1000},</w:t>
      </w:r>
    </w:p>
    <w:p w14:paraId="3A993233"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 xml:space="preserve">    mpe-Threshold-r16                   </w:t>
      </w:r>
      <w:r w:rsidRPr="00AA317D">
        <w:rPr>
          <w:rFonts w:ascii="Courier New" w:hAnsi="Courier New"/>
          <w:noProof/>
          <w:color w:val="993366"/>
          <w:sz w:val="16"/>
          <w:lang w:eastAsia="en-GB"/>
        </w:rPr>
        <w:t>ENUMERATED</w:t>
      </w:r>
      <w:r w:rsidRPr="00AA317D">
        <w:rPr>
          <w:rFonts w:ascii="Courier New" w:hAnsi="Courier New"/>
          <w:noProof/>
          <w:sz w:val="16"/>
          <w:lang w:eastAsia="en-GB"/>
        </w:rPr>
        <w:t xml:space="preserve"> {dB3, dB6, dB9, dB12}</w:t>
      </w:r>
    </w:p>
    <w:p w14:paraId="2227A380"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317D">
        <w:rPr>
          <w:rFonts w:ascii="Courier New" w:hAnsi="Courier New"/>
          <w:noProof/>
          <w:sz w:val="16"/>
          <w:lang w:eastAsia="en-GB"/>
        </w:rPr>
        <w:t>}</w:t>
      </w:r>
    </w:p>
    <w:p w14:paraId="65B81839"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8641C9" w14:textId="77777777" w:rsidR="00AA317D" w:rsidRPr="00642D61"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42D61">
        <w:rPr>
          <w:rFonts w:ascii="Courier New" w:hAnsi="Courier New"/>
          <w:noProof/>
          <w:sz w:val="16"/>
          <w:highlight w:val="yellow"/>
          <w:lang w:eastAsia="en-GB"/>
        </w:rPr>
        <w:t xml:space="preserve">MPE-Config-FR2-r17 ::=              </w:t>
      </w:r>
      <w:r w:rsidRPr="00642D61">
        <w:rPr>
          <w:rFonts w:ascii="Courier New" w:hAnsi="Courier New"/>
          <w:noProof/>
          <w:color w:val="993366"/>
          <w:sz w:val="16"/>
          <w:highlight w:val="yellow"/>
          <w:lang w:eastAsia="en-GB"/>
        </w:rPr>
        <w:t>SEQUENCE</w:t>
      </w:r>
      <w:r w:rsidRPr="00642D61">
        <w:rPr>
          <w:rFonts w:ascii="Courier New" w:hAnsi="Courier New"/>
          <w:noProof/>
          <w:sz w:val="16"/>
          <w:highlight w:val="yellow"/>
          <w:lang w:eastAsia="en-GB"/>
        </w:rPr>
        <w:t xml:space="preserve"> {</w:t>
      </w:r>
    </w:p>
    <w:p w14:paraId="53969841" w14:textId="77777777" w:rsidR="00AA317D" w:rsidRPr="00642D61"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42D61">
        <w:rPr>
          <w:rFonts w:ascii="Courier New" w:hAnsi="Courier New"/>
          <w:noProof/>
          <w:sz w:val="16"/>
          <w:highlight w:val="yellow"/>
          <w:lang w:eastAsia="en-GB"/>
        </w:rPr>
        <w:t xml:space="preserve">    mpe-ProhibitTimer-r17               </w:t>
      </w:r>
      <w:r w:rsidRPr="00642D61">
        <w:rPr>
          <w:rFonts w:ascii="Courier New" w:hAnsi="Courier New"/>
          <w:noProof/>
          <w:color w:val="993366"/>
          <w:sz w:val="16"/>
          <w:highlight w:val="yellow"/>
          <w:lang w:eastAsia="en-GB"/>
        </w:rPr>
        <w:t>ENUMERATED</w:t>
      </w:r>
      <w:r w:rsidRPr="00642D61">
        <w:rPr>
          <w:rFonts w:ascii="Courier New" w:hAnsi="Courier New"/>
          <w:noProof/>
          <w:sz w:val="16"/>
          <w:highlight w:val="yellow"/>
          <w:lang w:eastAsia="en-GB"/>
        </w:rPr>
        <w:t xml:space="preserve"> {sf0, sf10, sf20, sf50, sf100, sf200, sf500, sf1000},</w:t>
      </w:r>
    </w:p>
    <w:p w14:paraId="535BE674" w14:textId="77777777" w:rsidR="00AA317D" w:rsidRPr="00642D61"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42D61">
        <w:rPr>
          <w:rFonts w:ascii="Courier New" w:hAnsi="Courier New"/>
          <w:noProof/>
          <w:sz w:val="16"/>
          <w:highlight w:val="yellow"/>
          <w:lang w:eastAsia="en-GB"/>
        </w:rPr>
        <w:t xml:space="preserve">    mpe-Threshold-r17                   </w:t>
      </w:r>
      <w:r w:rsidRPr="00642D61">
        <w:rPr>
          <w:rFonts w:ascii="Courier New" w:hAnsi="Courier New"/>
          <w:noProof/>
          <w:color w:val="993366"/>
          <w:sz w:val="16"/>
          <w:highlight w:val="yellow"/>
          <w:lang w:eastAsia="en-GB"/>
        </w:rPr>
        <w:t>ENUMERATED</w:t>
      </w:r>
      <w:r w:rsidRPr="00642D61">
        <w:rPr>
          <w:rFonts w:ascii="Courier New" w:hAnsi="Courier New"/>
          <w:noProof/>
          <w:sz w:val="16"/>
          <w:highlight w:val="yellow"/>
          <w:lang w:eastAsia="en-GB"/>
        </w:rPr>
        <w:t xml:space="preserve"> {dB3, dB6, dB9, dB12}</w:t>
      </w:r>
    </w:p>
    <w:p w14:paraId="07A4DF1D" w14:textId="77777777" w:rsidR="00AA317D" w:rsidRPr="00642D61"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42D61">
        <w:rPr>
          <w:rFonts w:ascii="Courier New" w:hAnsi="Courier New"/>
          <w:noProof/>
          <w:sz w:val="16"/>
          <w:highlight w:val="yellow"/>
          <w:lang w:eastAsia="en-GB"/>
        </w:rPr>
        <w:t xml:space="preserve">    numberOfN-r17                       INTEGER{1..4}</w:t>
      </w:r>
    </w:p>
    <w:p w14:paraId="5B100F62" w14:textId="77777777" w:rsidR="00AA317D" w:rsidRPr="00642D61"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42D61">
        <w:rPr>
          <w:rFonts w:ascii="Courier New" w:hAnsi="Courier New"/>
          <w:noProof/>
          <w:sz w:val="16"/>
          <w:highlight w:val="yellow"/>
          <w:lang w:eastAsia="en-GB"/>
        </w:rPr>
        <w:t xml:space="preserve">    mpe-ResourcePool-r17                FFS</w:t>
      </w:r>
    </w:p>
    <w:p w14:paraId="122B171E" w14:textId="77777777" w:rsidR="00AA317D" w:rsidRPr="00642D61"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42D61">
        <w:rPr>
          <w:rFonts w:ascii="Courier New" w:hAnsi="Courier New"/>
          <w:noProof/>
          <w:sz w:val="16"/>
          <w:highlight w:val="yellow"/>
          <w:lang w:eastAsia="en-GB"/>
        </w:rPr>
        <w:t>}</w:t>
      </w:r>
    </w:p>
    <w:p w14:paraId="1A229EAF" w14:textId="77777777" w:rsidR="00AA317D" w:rsidRPr="00642D61"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3D2E6FAC"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D61">
        <w:rPr>
          <w:rFonts w:ascii="Courier New" w:hAnsi="Courier New"/>
          <w:noProof/>
          <w:sz w:val="16"/>
          <w:highlight w:val="yellow"/>
          <w:lang w:eastAsia="en-GB"/>
        </w:rPr>
        <w:t>--Editor’s note: mpeResourcePool should contain SSB/CSI-RS resource pool for P-MPR reporting but value range is TBD.</w:t>
      </w:r>
      <w:r w:rsidRPr="00AA317D">
        <w:rPr>
          <w:rFonts w:ascii="Courier New" w:hAnsi="Courier New"/>
          <w:noProof/>
          <w:sz w:val="16"/>
          <w:lang w:eastAsia="en-GB"/>
        </w:rPr>
        <w:t xml:space="preserve"> </w:t>
      </w:r>
    </w:p>
    <w:p w14:paraId="397EF9FE"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495D50"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8DB050"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317D">
        <w:rPr>
          <w:rFonts w:ascii="Courier New" w:hAnsi="Courier New"/>
          <w:noProof/>
          <w:color w:val="808080"/>
          <w:sz w:val="16"/>
          <w:lang w:eastAsia="en-GB"/>
        </w:rPr>
        <w:t>-- TAG-PHR-CONFIG-STOP</w:t>
      </w:r>
    </w:p>
    <w:p w14:paraId="3AB1B645" w14:textId="77777777" w:rsidR="00AA317D" w:rsidRPr="00AA317D" w:rsidRDefault="00AA317D" w:rsidP="00AA3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317D">
        <w:rPr>
          <w:rFonts w:ascii="Courier New" w:hAnsi="Courier New"/>
          <w:noProof/>
          <w:color w:val="808080"/>
          <w:sz w:val="16"/>
          <w:lang w:eastAsia="en-GB"/>
        </w:rPr>
        <w:t>-- ASN1STOP</w:t>
      </w:r>
    </w:p>
    <w:p w14:paraId="4EAA3A4D" w14:textId="77777777" w:rsidR="00AA317D" w:rsidRPr="00AA317D" w:rsidRDefault="00AA317D" w:rsidP="00AA317D">
      <w:pPr>
        <w:overflowPunct w:val="0"/>
        <w:autoSpaceDE w:val="0"/>
        <w:autoSpaceDN w:val="0"/>
        <w:adjustRightInd w:val="0"/>
        <w:textAlignment w:val="baseline"/>
        <w:rPr>
          <w:lang w:eastAsia="ja-JP"/>
        </w:rPr>
      </w:pPr>
    </w:p>
    <w:p w14:paraId="30F7F618" w14:textId="77777777" w:rsidR="00AA317D" w:rsidRDefault="00AA317D" w:rsidP="00AA317D">
      <w:pPr>
        <w:keepNext/>
        <w:keepLines/>
        <w:overflowPunct w:val="0"/>
        <w:autoSpaceDE w:val="0"/>
        <w:autoSpaceDN w:val="0"/>
        <w:adjustRightInd w:val="0"/>
        <w:spacing w:after="0"/>
        <w:jc w:val="center"/>
        <w:textAlignment w:val="baseline"/>
        <w:rPr>
          <w:rFonts w:ascii="Arial" w:hAnsi="Arial"/>
          <w:b/>
          <w:i/>
          <w:sz w:val="18"/>
          <w:szCs w:val="22"/>
          <w:lang w:eastAsia="sv-SE"/>
        </w:rPr>
        <w:sectPr w:rsidR="00AA317D" w:rsidSect="00AA317D">
          <w:footnotePr>
            <w:numRestart w:val="eachSect"/>
          </w:footnotePr>
          <w:pgSz w:w="16840" w:h="11907" w:orient="landscape" w:code="9"/>
          <w:pgMar w:top="1134" w:right="1418" w:bottom="1134" w:left="1134" w:header="851" w:footer="340" w:gutter="0"/>
          <w:cols w:space="720"/>
          <w:formProt w:val="0"/>
        </w:sect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A317D" w:rsidRPr="00AA317D" w14:paraId="47420919" w14:textId="77777777" w:rsidTr="0022147F">
        <w:tc>
          <w:tcPr>
            <w:tcW w:w="14173" w:type="dxa"/>
            <w:tcBorders>
              <w:top w:val="single" w:sz="4" w:space="0" w:color="auto"/>
              <w:left w:val="single" w:sz="4" w:space="0" w:color="auto"/>
              <w:bottom w:val="single" w:sz="4" w:space="0" w:color="auto"/>
              <w:right w:val="single" w:sz="4" w:space="0" w:color="auto"/>
            </w:tcBorders>
            <w:hideMark/>
          </w:tcPr>
          <w:p w14:paraId="738B6F84" w14:textId="5E0CED49" w:rsidR="00AA317D" w:rsidRPr="00AA317D" w:rsidRDefault="00AA317D" w:rsidP="00AA317D">
            <w:pPr>
              <w:keepNext/>
              <w:keepLines/>
              <w:overflowPunct w:val="0"/>
              <w:autoSpaceDE w:val="0"/>
              <w:autoSpaceDN w:val="0"/>
              <w:adjustRightInd w:val="0"/>
              <w:spacing w:after="0"/>
              <w:jc w:val="center"/>
              <w:textAlignment w:val="baseline"/>
              <w:rPr>
                <w:rFonts w:ascii="Arial" w:hAnsi="Arial"/>
                <w:b/>
                <w:sz w:val="18"/>
                <w:szCs w:val="22"/>
                <w:lang w:eastAsia="sv-SE"/>
              </w:rPr>
            </w:pPr>
            <w:r w:rsidRPr="00AA317D">
              <w:rPr>
                <w:rFonts w:ascii="Arial" w:hAnsi="Arial"/>
                <w:b/>
                <w:i/>
                <w:sz w:val="18"/>
                <w:szCs w:val="22"/>
                <w:lang w:eastAsia="sv-SE"/>
              </w:rPr>
              <w:lastRenderedPageBreak/>
              <w:t xml:space="preserve">PHR-Config </w:t>
            </w:r>
            <w:r w:rsidRPr="00AA317D">
              <w:rPr>
                <w:rFonts w:ascii="Arial" w:hAnsi="Arial"/>
                <w:b/>
                <w:sz w:val="18"/>
                <w:szCs w:val="22"/>
                <w:lang w:eastAsia="sv-SE"/>
              </w:rPr>
              <w:t>field descriptions</w:t>
            </w:r>
          </w:p>
        </w:tc>
      </w:tr>
      <w:tr w:rsidR="00AA317D" w:rsidRPr="00AA317D" w14:paraId="635C564B" w14:textId="77777777" w:rsidTr="0022147F">
        <w:tc>
          <w:tcPr>
            <w:tcW w:w="14173" w:type="dxa"/>
            <w:tcBorders>
              <w:top w:val="single" w:sz="4" w:space="0" w:color="auto"/>
              <w:left w:val="single" w:sz="4" w:space="0" w:color="auto"/>
              <w:bottom w:val="single" w:sz="4" w:space="0" w:color="auto"/>
              <w:right w:val="single" w:sz="4" w:space="0" w:color="auto"/>
            </w:tcBorders>
            <w:hideMark/>
          </w:tcPr>
          <w:p w14:paraId="4B63DE85"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b/>
                <w:i/>
                <w:sz w:val="18"/>
                <w:szCs w:val="22"/>
                <w:lang w:eastAsia="sv-SE"/>
              </w:rPr>
              <w:t>dummy</w:t>
            </w:r>
          </w:p>
          <w:p w14:paraId="515C775F"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sz w:val="18"/>
                <w:szCs w:val="22"/>
                <w:lang w:eastAsia="sv-SE"/>
              </w:rPr>
              <w:t>This field is not used in this version of the specification and the UE ignores the received value.</w:t>
            </w:r>
          </w:p>
        </w:tc>
      </w:tr>
      <w:tr w:rsidR="00AA317D" w:rsidRPr="00AA317D" w14:paraId="0563CFBF" w14:textId="77777777" w:rsidTr="0022147F">
        <w:tc>
          <w:tcPr>
            <w:tcW w:w="14173" w:type="dxa"/>
            <w:tcBorders>
              <w:top w:val="single" w:sz="4" w:space="0" w:color="auto"/>
              <w:left w:val="single" w:sz="4" w:space="0" w:color="auto"/>
              <w:bottom w:val="single" w:sz="4" w:space="0" w:color="auto"/>
              <w:right w:val="single" w:sz="4" w:space="0" w:color="auto"/>
            </w:tcBorders>
          </w:tcPr>
          <w:p w14:paraId="686772D4" w14:textId="77777777" w:rsidR="00AA317D" w:rsidRPr="00AA317D" w:rsidRDefault="00AA317D" w:rsidP="00AA317D">
            <w:pPr>
              <w:keepNext/>
              <w:keepLines/>
              <w:overflowPunct w:val="0"/>
              <w:autoSpaceDE w:val="0"/>
              <w:autoSpaceDN w:val="0"/>
              <w:adjustRightInd w:val="0"/>
              <w:spacing w:after="0"/>
              <w:textAlignment w:val="baseline"/>
              <w:rPr>
                <w:rFonts w:ascii="Arial" w:hAnsi="Arial"/>
                <w:b/>
                <w:bCs/>
                <w:i/>
                <w:iCs/>
                <w:sz w:val="18"/>
                <w:lang w:eastAsia="ja-JP"/>
              </w:rPr>
            </w:pPr>
            <w:r w:rsidRPr="00AA317D">
              <w:rPr>
                <w:rFonts w:ascii="Arial" w:hAnsi="Arial"/>
                <w:b/>
                <w:bCs/>
                <w:i/>
                <w:iCs/>
                <w:sz w:val="18"/>
                <w:lang w:eastAsia="ja-JP"/>
              </w:rPr>
              <w:t>mpe-ProhibitTimer</w:t>
            </w:r>
          </w:p>
          <w:p w14:paraId="63AD2B52"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lang w:eastAsia="ja-JP"/>
              </w:rPr>
            </w:pPr>
            <w:r w:rsidRPr="00AA317D">
              <w:rPr>
                <w:rFonts w:ascii="Arial" w:hAnsi="Arial"/>
                <w:sz w:val="18"/>
                <w:lang w:eastAsia="ja-JP"/>
              </w:rPr>
              <w:t>Value in number of subframes for MPE reporting, as specified in TS 38.321 [3]. Value sf10 corresponds to 10 subframes, and so on.</w:t>
            </w:r>
          </w:p>
        </w:tc>
      </w:tr>
      <w:tr w:rsidR="00AA317D" w:rsidRPr="00AA317D" w14:paraId="190BA43B" w14:textId="77777777" w:rsidTr="0022147F">
        <w:tc>
          <w:tcPr>
            <w:tcW w:w="14173" w:type="dxa"/>
            <w:tcBorders>
              <w:top w:val="single" w:sz="4" w:space="0" w:color="auto"/>
              <w:left w:val="single" w:sz="4" w:space="0" w:color="auto"/>
              <w:bottom w:val="single" w:sz="4" w:space="0" w:color="auto"/>
              <w:right w:val="single" w:sz="4" w:space="0" w:color="auto"/>
            </w:tcBorders>
          </w:tcPr>
          <w:p w14:paraId="61257587" w14:textId="77777777" w:rsidR="00AA317D" w:rsidRPr="00AA317D" w:rsidRDefault="00AA317D" w:rsidP="00AA317D">
            <w:pPr>
              <w:keepNext/>
              <w:keepLines/>
              <w:overflowPunct w:val="0"/>
              <w:autoSpaceDE w:val="0"/>
              <w:autoSpaceDN w:val="0"/>
              <w:adjustRightInd w:val="0"/>
              <w:spacing w:after="0"/>
              <w:textAlignment w:val="baseline"/>
              <w:rPr>
                <w:rFonts w:ascii="Arial" w:hAnsi="Arial"/>
                <w:b/>
                <w:bCs/>
                <w:i/>
                <w:iCs/>
                <w:sz w:val="18"/>
                <w:lang w:eastAsia="ja-JP"/>
              </w:rPr>
            </w:pPr>
            <w:r w:rsidRPr="00AA317D">
              <w:rPr>
                <w:rFonts w:ascii="Arial" w:hAnsi="Arial"/>
                <w:b/>
                <w:bCs/>
                <w:i/>
                <w:iCs/>
                <w:sz w:val="18"/>
                <w:lang w:eastAsia="ja-JP"/>
              </w:rPr>
              <w:t>mpe-Reporting-FR2</w:t>
            </w:r>
          </w:p>
          <w:p w14:paraId="751A9D26"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lang w:eastAsia="sv-SE"/>
              </w:rPr>
            </w:pPr>
            <w:r w:rsidRPr="00AA317D">
              <w:rPr>
                <w:rFonts w:ascii="Arial" w:hAnsi="Arial"/>
                <w:sz w:val="18"/>
                <w:lang w:eastAsia="ja-JP"/>
              </w:rPr>
              <w:t>Indicates whether the UE shall report MPE P-MPR in the PHR MAC control element, as specified in TS 38.321 [3].</w:t>
            </w:r>
          </w:p>
        </w:tc>
      </w:tr>
      <w:tr w:rsidR="00AA317D" w:rsidRPr="00AA317D" w14:paraId="3BCE9F0A" w14:textId="77777777" w:rsidTr="0022147F">
        <w:trPr>
          <w:trHeight w:val="314"/>
        </w:trPr>
        <w:tc>
          <w:tcPr>
            <w:tcW w:w="14173" w:type="dxa"/>
            <w:tcBorders>
              <w:top w:val="single" w:sz="4" w:space="0" w:color="auto"/>
              <w:left w:val="single" w:sz="4" w:space="0" w:color="auto"/>
              <w:bottom w:val="single" w:sz="4" w:space="0" w:color="auto"/>
              <w:right w:val="single" w:sz="4" w:space="0" w:color="auto"/>
            </w:tcBorders>
          </w:tcPr>
          <w:p w14:paraId="6EA834C9" w14:textId="77777777" w:rsidR="00AA317D" w:rsidRPr="00AA317D" w:rsidRDefault="00AA317D" w:rsidP="00AA317D">
            <w:pPr>
              <w:keepNext/>
              <w:keepLines/>
              <w:overflowPunct w:val="0"/>
              <w:autoSpaceDE w:val="0"/>
              <w:autoSpaceDN w:val="0"/>
              <w:adjustRightInd w:val="0"/>
              <w:spacing w:after="0"/>
              <w:textAlignment w:val="baseline"/>
              <w:rPr>
                <w:rFonts w:ascii="Arial" w:hAnsi="Arial"/>
                <w:b/>
                <w:bCs/>
                <w:i/>
                <w:iCs/>
                <w:sz w:val="18"/>
                <w:lang w:eastAsia="ja-JP"/>
              </w:rPr>
            </w:pPr>
            <w:r w:rsidRPr="00AA317D">
              <w:rPr>
                <w:rFonts w:ascii="Arial" w:hAnsi="Arial"/>
                <w:b/>
                <w:bCs/>
                <w:i/>
                <w:iCs/>
                <w:sz w:val="18"/>
                <w:lang w:eastAsia="ja-JP"/>
              </w:rPr>
              <w:t>mpe-Threshold</w:t>
            </w:r>
          </w:p>
          <w:p w14:paraId="45FDFC8E"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lang w:eastAsia="ja-JP"/>
              </w:rPr>
            </w:pPr>
            <w:r w:rsidRPr="00AA317D">
              <w:rPr>
                <w:rFonts w:ascii="Arial" w:hAnsi="Arial"/>
                <w:sz w:val="18"/>
                <w:lang w:eastAsia="ja-JP"/>
              </w:rPr>
              <w:t>Value of the P-MPR threshold in dB for reporting MPE P-MPR when FR2 is configured, as specified in TS 38.321 [3]. The same value applies for each serving cell (although the associated functionality is performed independently for each cell).</w:t>
            </w:r>
          </w:p>
        </w:tc>
      </w:tr>
      <w:tr w:rsidR="00AA317D" w:rsidRPr="00AA317D" w14:paraId="0C4E9FCD" w14:textId="77777777" w:rsidTr="0022147F">
        <w:tc>
          <w:tcPr>
            <w:tcW w:w="14173" w:type="dxa"/>
            <w:tcBorders>
              <w:top w:val="single" w:sz="4" w:space="0" w:color="auto"/>
              <w:left w:val="single" w:sz="4" w:space="0" w:color="auto"/>
              <w:bottom w:val="single" w:sz="4" w:space="0" w:color="auto"/>
              <w:right w:val="single" w:sz="4" w:space="0" w:color="auto"/>
            </w:tcBorders>
            <w:hideMark/>
          </w:tcPr>
          <w:p w14:paraId="00B8191B"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b/>
                <w:i/>
                <w:sz w:val="18"/>
                <w:szCs w:val="22"/>
                <w:lang w:eastAsia="sv-SE"/>
              </w:rPr>
              <w:t>multiplePHR</w:t>
            </w:r>
          </w:p>
          <w:p w14:paraId="31A7C573"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sz w:val="18"/>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AA317D">
              <w:rPr>
                <w:rFonts w:ascii="Arial" w:hAnsi="Arial"/>
                <w:i/>
                <w:sz w:val="18"/>
                <w:szCs w:val="22"/>
                <w:lang w:eastAsia="sv-SE"/>
              </w:rPr>
              <w:t>true</w:t>
            </w:r>
            <w:r w:rsidRPr="00AA317D">
              <w:rPr>
                <w:rFonts w:ascii="Arial" w:hAnsi="Arial"/>
                <w:sz w:val="18"/>
                <w:szCs w:val="22"/>
                <w:lang w:eastAsia="sv-SE"/>
              </w:rPr>
              <w:t xml:space="preserve"> for MR-DC and UL CA for NR, and to </w:t>
            </w:r>
            <w:r w:rsidRPr="00AA317D">
              <w:rPr>
                <w:rFonts w:ascii="Arial" w:hAnsi="Arial"/>
                <w:i/>
                <w:sz w:val="18"/>
                <w:szCs w:val="22"/>
                <w:lang w:eastAsia="sv-SE"/>
              </w:rPr>
              <w:t>false</w:t>
            </w:r>
            <w:r w:rsidRPr="00AA317D">
              <w:rPr>
                <w:rFonts w:ascii="Arial" w:hAnsi="Arial"/>
                <w:sz w:val="18"/>
                <w:szCs w:val="22"/>
                <w:lang w:eastAsia="sv-SE"/>
              </w:rPr>
              <w:t xml:space="preserve"> in all other cases.</w:t>
            </w:r>
          </w:p>
        </w:tc>
      </w:tr>
      <w:tr w:rsidR="00AA317D" w:rsidRPr="00AA317D" w14:paraId="3533E86A" w14:textId="77777777" w:rsidTr="0022147F">
        <w:tc>
          <w:tcPr>
            <w:tcW w:w="14173" w:type="dxa"/>
            <w:tcBorders>
              <w:top w:val="single" w:sz="4" w:space="0" w:color="auto"/>
              <w:left w:val="single" w:sz="4" w:space="0" w:color="auto"/>
              <w:bottom w:val="single" w:sz="4" w:space="0" w:color="auto"/>
              <w:right w:val="single" w:sz="4" w:space="0" w:color="auto"/>
            </w:tcBorders>
          </w:tcPr>
          <w:p w14:paraId="3F554457" w14:textId="77777777" w:rsidR="00AA317D" w:rsidRPr="00AA317D" w:rsidRDefault="00AA317D" w:rsidP="00AA317D">
            <w:pPr>
              <w:keepNext/>
              <w:keepLines/>
              <w:overflowPunct w:val="0"/>
              <w:autoSpaceDE w:val="0"/>
              <w:autoSpaceDN w:val="0"/>
              <w:adjustRightInd w:val="0"/>
              <w:spacing w:after="0"/>
              <w:textAlignment w:val="baseline"/>
              <w:rPr>
                <w:rFonts w:ascii="Arial" w:hAnsi="Arial"/>
                <w:b/>
                <w:i/>
                <w:sz w:val="18"/>
                <w:szCs w:val="22"/>
                <w:lang w:eastAsia="sv-SE"/>
              </w:rPr>
            </w:pPr>
            <w:r w:rsidRPr="00AA317D">
              <w:rPr>
                <w:rFonts w:ascii="Arial" w:hAnsi="Arial"/>
                <w:b/>
                <w:i/>
                <w:sz w:val="18"/>
                <w:szCs w:val="22"/>
                <w:lang w:eastAsia="sv-SE"/>
              </w:rPr>
              <w:t>mpe-ResourcePool</w:t>
            </w:r>
          </w:p>
          <w:p w14:paraId="452B9D07" w14:textId="77777777" w:rsidR="00AA317D" w:rsidRPr="00AA317D" w:rsidRDefault="00AA317D" w:rsidP="00AA317D">
            <w:pPr>
              <w:keepNext/>
              <w:keepLines/>
              <w:overflowPunct w:val="0"/>
              <w:autoSpaceDE w:val="0"/>
              <w:autoSpaceDN w:val="0"/>
              <w:adjustRightInd w:val="0"/>
              <w:spacing w:after="0"/>
              <w:textAlignment w:val="baseline"/>
              <w:rPr>
                <w:rFonts w:ascii="Arial" w:hAnsi="Arial"/>
                <w:b/>
                <w:i/>
                <w:sz w:val="18"/>
                <w:szCs w:val="22"/>
                <w:lang w:eastAsia="sv-SE"/>
              </w:rPr>
            </w:pPr>
            <w:r w:rsidRPr="00AA317D">
              <w:rPr>
                <w:rFonts w:ascii="Arial" w:hAnsi="Arial"/>
                <w:bCs/>
                <w:sz w:val="18"/>
                <w:lang w:eastAsia="ja-JP"/>
              </w:rPr>
              <w:t xml:space="preserve">List of </w:t>
            </w:r>
            <w:r w:rsidRPr="00AA317D">
              <w:rPr>
                <w:rFonts w:ascii="Arial" w:hAnsi="Arial"/>
                <w:sz w:val="18"/>
                <w:lang w:eastAsia="ja-JP"/>
              </w:rPr>
              <w:t>SSB/CSI-RS resources for P-MPR reporting. FFS further details</w:t>
            </w:r>
          </w:p>
        </w:tc>
      </w:tr>
      <w:tr w:rsidR="00AA317D" w:rsidRPr="00AA317D" w14:paraId="264255A9" w14:textId="77777777" w:rsidTr="0022147F">
        <w:tc>
          <w:tcPr>
            <w:tcW w:w="14173" w:type="dxa"/>
            <w:tcBorders>
              <w:top w:val="single" w:sz="4" w:space="0" w:color="auto"/>
              <w:left w:val="single" w:sz="4" w:space="0" w:color="auto"/>
              <w:bottom w:val="single" w:sz="4" w:space="0" w:color="auto"/>
              <w:right w:val="single" w:sz="4" w:space="0" w:color="auto"/>
            </w:tcBorders>
          </w:tcPr>
          <w:p w14:paraId="2368004E" w14:textId="77777777" w:rsidR="00AA317D" w:rsidRPr="00AA317D" w:rsidRDefault="00AA317D" w:rsidP="00AA317D">
            <w:pPr>
              <w:keepNext/>
              <w:keepLines/>
              <w:overflowPunct w:val="0"/>
              <w:autoSpaceDE w:val="0"/>
              <w:autoSpaceDN w:val="0"/>
              <w:adjustRightInd w:val="0"/>
              <w:spacing w:after="0"/>
              <w:textAlignment w:val="baseline"/>
              <w:rPr>
                <w:rFonts w:ascii="Arial" w:hAnsi="Arial"/>
                <w:b/>
                <w:i/>
                <w:sz w:val="18"/>
                <w:szCs w:val="22"/>
                <w:lang w:eastAsia="sv-SE"/>
              </w:rPr>
            </w:pPr>
            <w:r w:rsidRPr="00AA317D">
              <w:rPr>
                <w:rFonts w:ascii="Arial" w:hAnsi="Arial"/>
                <w:b/>
                <w:i/>
                <w:sz w:val="18"/>
                <w:szCs w:val="22"/>
                <w:lang w:eastAsia="sv-SE"/>
              </w:rPr>
              <w:t>numberOfN</w:t>
            </w:r>
          </w:p>
          <w:p w14:paraId="67E062FC" w14:textId="77777777" w:rsidR="00AA317D" w:rsidRPr="00AA317D" w:rsidRDefault="00AA317D" w:rsidP="00AA317D">
            <w:pPr>
              <w:keepNext/>
              <w:keepLines/>
              <w:overflowPunct w:val="0"/>
              <w:autoSpaceDE w:val="0"/>
              <w:autoSpaceDN w:val="0"/>
              <w:adjustRightInd w:val="0"/>
              <w:spacing w:after="0"/>
              <w:textAlignment w:val="baseline"/>
              <w:rPr>
                <w:rFonts w:ascii="Arial" w:hAnsi="Arial"/>
                <w:bCs/>
                <w:iCs/>
                <w:sz w:val="18"/>
                <w:szCs w:val="22"/>
                <w:lang w:eastAsia="sv-SE"/>
              </w:rPr>
            </w:pPr>
            <w:r w:rsidRPr="00AA317D">
              <w:rPr>
                <w:rFonts w:ascii="Arial" w:hAnsi="Arial"/>
                <w:bCs/>
                <w:iCs/>
                <w:sz w:val="18"/>
                <w:szCs w:val="22"/>
                <w:lang w:eastAsia="sv-SE"/>
              </w:rPr>
              <w:t>Number of reported P-MPR values in a PHR MAC CE</w:t>
            </w:r>
          </w:p>
        </w:tc>
      </w:tr>
      <w:tr w:rsidR="00AA317D" w:rsidRPr="00AA317D" w14:paraId="4FC53A73" w14:textId="77777777" w:rsidTr="0022147F">
        <w:tc>
          <w:tcPr>
            <w:tcW w:w="14173" w:type="dxa"/>
            <w:tcBorders>
              <w:top w:val="single" w:sz="4" w:space="0" w:color="auto"/>
              <w:left w:val="single" w:sz="4" w:space="0" w:color="auto"/>
              <w:bottom w:val="single" w:sz="4" w:space="0" w:color="auto"/>
              <w:right w:val="single" w:sz="4" w:space="0" w:color="auto"/>
            </w:tcBorders>
            <w:hideMark/>
          </w:tcPr>
          <w:p w14:paraId="59DCEE63"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b/>
                <w:i/>
                <w:sz w:val="18"/>
                <w:szCs w:val="22"/>
                <w:lang w:eastAsia="sv-SE"/>
              </w:rPr>
              <w:t>phr-ModeOtherCG</w:t>
            </w:r>
          </w:p>
          <w:p w14:paraId="0BB23C70"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sz w:val="18"/>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AA317D" w:rsidRPr="00AA317D" w14:paraId="1C791F51" w14:textId="77777777" w:rsidTr="0022147F">
        <w:tc>
          <w:tcPr>
            <w:tcW w:w="14173" w:type="dxa"/>
            <w:tcBorders>
              <w:top w:val="single" w:sz="4" w:space="0" w:color="auto"/>
              <w:left w:val="single" w:sz="4" w:space="0" w:color="auto"/>
              <w:bottom w:val="single" w:sz="4" w:space="0" w:color="auto"/>
              <w:right w:val="single" w:sz="4" w:space="0" w:color="auto"/>
            </w:tcBorders>
            <w:hideMark/>
          </w:tcPr>
          <w:p w14:paraId="5C603C98"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b/>
                <w:i/>
                <w:sz w:val="18"/>
                <w:szCs w:val="22"/>
                <w:lang w:eastAsia="sv-SE"/>
              </w:rPr>
              <w:t>phr-PeriodicTimer</w:t>
            </w:r>
          </w:p>
          <w:p w14:paraId="730185DB"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sz w:val="18"/>
                <w:szCs w:val="22"/>
                <w:lang w:eastAsia="sv-SE"/>
              </w:rPr>
              <w:t xml:space="preserve">Value in number of subframes for PHR reporting as specified in TS 38.321 [3]. Value </w:t>
            </w:r>
            <w:r w:rsidRPr="00AA317D">
              <w:rPr>
                <w:rFonts w:ascii="Arial" w:hAnsi="Arial"/>
                <w:i/>
                <w:sz w:val="18"/>
                <w:szCs w:val="22"/>
                <w:lang w:eastAsia="sv-SE"/>
              </w:rPr>
              <w:t>sf10</w:t>
            </w:r>
            <w:r w:rsidRPr="00AA317D">
              <w:rPr>
                <w:rFonts w:ascii="Arial" w:hAnsi="Arial"/>
                <w:sz w:val="18"/>
                <w:szCs w:val="22"/>
                <w:lang w:eastAsia="sv-SE"/>
              </w:rPr>
              <w:t xml:space="preserve"> corresponds to 10 subframes, value </w:t>
            </w:r>
            <w:r w:rsidRPr="00AA317D">
              <w:rPr>
                <w:rFonts w:ascii="Arial" w:hAnsi="Arial"/>
                <w:i/>
                <w:sz w:val="18"/>
                <w:szCs w:val="22"/>
                <w:lang w:eastAsia="sv-SE"/>
              </w:rPr>
              <w:t>sf20</w:t>
            </w:r>
            <w:r w:rsidRPr="00AA317D">
              <w:rPr>
                <w:rFonts w:ascii="Arial" w:hAnsi="Arial"/>
                <w:sz w:val="18"/>
                <w:szCs w:val="22"/>
                <w:lang w:eastAsia="sv-SE"/>
              </w:rPr>
              <w:t xml:space="preserve"> corresponds to 20 subframes, and so on.</w:t>
            </w:r>
          </w:p>
        </w:tc>
      </w:tr>
      <w:tr w:rsidR="00AA317D" w:rsidRPr="00AA317D" w14:paraId="28FC41F9" w14:textId="77777777" w:rsidTr="0022147F">
        <w:tc>
          <w:tcPr>
            <w:tcW w:w="14173" w:type="dxa"/>
            <w:tcBorders>
              <w:top w:val="single" w:sz="4" w:space="0" w:color="auto"/>
              <w:left w:val="single" w:sz="4" w:space="0" w:color="auto"/>
              <w:bottom w:val="single" w:sz="4" w:space="0" w:color="auto"/>
              <w:right w:val="single" w:sz="4" w:space="0" w:color="auto"/>
            </w:tcBorders>
            <w:hideMark/>
          </w:tcPr>
          <w:p w14:paraId="6DB32A88"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b/>
                <w:i/>
                <w:sz w:val="18"/>
                <w:szCs w:val="22"/>
                <w:lang w:eastAsia="sv-SE"/>
              </w:rPr>
              <w:t>phr-ProhibitTimer</w:t>
            </w:r>
          </w:p>
          <w:p w14:paraId="0D73A7E2"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sz w:val="18"/>
                <w:szCs w:val="22"/>
                <w:lang w:eastAsia="sv-SE"/>
              </w:rPr>
              <w:t xml:space="preserve">Value in number of subframes for PHR reporting as specified in TS 38.321 [3]. Value </w:t>
            </w:r>
            <w:r w:rsidRPr="00AA317D">
              <w:rPr>
                <w:rFonts w:ascii="Arial" w:hAnsi="Arial"/>
                <w:i/>
                <w:sz w:val="18"/>
                <w:szCs w:val="22"/>
                <w:lang w:eastAsia="sv-SE"/>
              </w:rPr>
              <w:t>sf0</w:t>
            </w:r>
            <w:r w:rsidRPr="00AA317D">
              <w:rPr>
                <w:rFonts w:ascii="Arial" w:hAnsi="Arial"/>
                <w:sz w:val="18"/>
                <w:szCs w:val="22"/>
                <w:lang w:eastAsia="sv-SE"/>
              </w:rPr>
              <w:t xml:space="preserve"> corresponds to 0 subframe, value </w:t>
            </w:r>
            <w:r w:rsidRPr="00AA317D">
              <w:rPr>
                <w:rFonts w:ascii="Arial" w:hAnsi="Arial"/>
                <w:i/>
                <w:sz w:val="18"/>
                <w:szCs w:val="22"/>
                <w:lang w:eastAsia="sv-SE"/>
              </w:rPr>
              <w:t>sf10</w:t>
            </w:r>
            <w:r w:rsidRPr="00AA317D">
              <w:rPr>
                <w:rFonts w:ascii="Arial" w:hAnsi="Arial"/>
                <w:sz w:val="18"/>
                <w:szCs w:val="22"/>
                <w:lang w:eastAsia="sv-SE"/>
              </w:rPr>
              <w:t xml:space="preserve"> corresponds to 10 subframes, value </w:t>
            </w:r>
            <w:r w:rsidRPr="00AA317D">
              <w:rPr>
                <w:rFonts w:ascii="Arial" w:hAnsi="Arial"/>
                <w:i/>
                <w:sz w:val="18"/>
                <w:szCs w:val="22"/>
                <w:lang w:eastAsia="sv-SE"/>
              </w:rPr>
              <w:t>sf20</w:t>
            </w:r>
            <w:r w:rsidRPr="00AA317D">
              <w:rPr>
                <w:rFonts w:ascii="Arial" w:hAnsi="Arial"/>
                <w:sz w:val="18"/>
                <w:szCs w:val="22"/>
                <w:lang w:eastAsia="sv-SE"/>
              </w:rPr>
              <w:t xml:space="preserve"> corresponds to 20 subframes, and so on.</w:t>
            </w:r>
          </w:p>
        </w:tc>
      </w:tr>
      <w:tr w:rsidR="00AA317D" w:rsidRPr="00AA317D" w14:paraId="7DE09929" w14:textId="77777777" w:rsidTr="0022147F">
        <w:tc>
          <w:tcPr>
            <w:tcW w:w="14173" w:type="dxa"/>
            <w:tcBorders>
              <w:top w:val="single" w:sz="4" w:space="0" w:color="auto"/>
              <w:left w:val="single" w:sz="4" w:space="0" w:color="auto"/>
              <w:bottom w:val="single" w:sz="4" w:space="0" w:color="auto"/>
              <w:right w:val="single" w:sz="4" w:space="0" w:color="auto"/>
            </w:tcBorders>
            <w:hideMark/>
          </w:tcPr>
          <w:p w14:paraId="707BC220"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b/>
                <w:i/>
                <w:sz w:val="18"/>
                <w:szCs w:val="22"/>
                <w:lang w:eastAsia="sv-SE"/>
              </w:rPr>
              <w:t>phr-Tx-PowerFactorChange</w:t>
            </w:r>
          </w:p>
          <w:p w14:paraId="56D32934"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sz w:val="18"/>
                <w:szCs w:val="22"/>
                <w:lang w:eastAsia="sv-SE"/>
              </w:rPr>
              <w:t xml:space="preserve">Value in dB for PHR reporting as specified in TS 38.321 [3]. Value </w:t>
            </w:r>
            <w:r w:rsidRPr="00AA317D">
              <w:rPr>
                <w:rFonts w:ascii="Arial" w:hAnsi="Arial"/>
                <w:i/>
                <w:sz w:val="18"/>
                <w:szCs w:val="22"/>
                <w:lang w:eastAsia="sv-SE"/>
              </w:rPr>
              <w:t>dB1</w:t>
            </w:r>
            <w:r w:rsidRPr="00AA317D">
              <w:rPr>
                <w:rFonts w:ascii="Arial" w:hAnsi="Arial"/>
                <w:sz w:val="18"/>
                <w:szCs w:val="22"/>
                <w:lang w:eastAsia="sv-SE"/>
              </w:rPr>
              <w:t xml:space="preserve"> corresponds to 1 dB, </w:t>
            </w:r>
            <w:r w:rsidRPr="00AA317D">
              <w:rPr>
                <w:rFonts w:ascii="Arial" w:hAnsi="Arial"/>
                <w:i/>
                <w:sz w:val="18"/>
                <w:szCs w:val="22"/>
                <w:lang w:eastAsia="sv-SE"/>
              </w:rPr>
              <w:t>dB3</w:t>
            </w:r>
            <w:r w:rsidRPr="00AA317D">
              <w:rPr>
                <w:rFonts w:ascii="Arial" w:hAnsi="Arial"/>
                <w:sz w:val="18"/>
                <w:szCs w:val="22"/>
                <w:lang w:eastAsia="sv-SE"/>
              </w:rPr>
              <w:t xml:space="preserve"> corresponds to 3 dB and so on. The same value applies for each serving cell (although the associated functionality is performed independently for each cell).</w:t>
            </w:r>
          </w:p>
        </w:tc>
      </w:tr>
      <w:tr w:rsidR="00AA317D" w:rsidRPr="00AA317D" w14:paraId="27B38E06" w14:textId="77777777" w:rsidTr="0022147F">
        <w:tc>
          <w:tcPr>
            <w:tcW w:w="14173" w:type="dxa"/>
            <w:tcBorders>
              <w:top w:val="single" w:sz="4" w:space="0" w:color="auto"/>
              <w:left w:val="single" w:sz="4" w:space="0" w:color="auto"/>
              <w:bottom w:val="single" w:sz="4" w:space="0" w:color="auto"/>
              <w:right w:val="single" w:sz="4" w:space="0" w:color="auto"/>
            </w:tcBorders>
            <w:hideMark/>
          </w:tcPr>
          <w:p w14:paraId="2C60C1F7"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b/>
                <w:i/>
                <w:sz w:val="18"/>
                <w:szCs w:val="22"/>
                <w:lang w:eastAsia="sv-SE"/>
              </w:rPr>
              <w:t>phr-Type2OtherCell</w:t>
            </w:r>
          </w:p>
          <w:p w14:paraId="16FDF52D" w14:textId="77777777" w:rsidR="00AA317D" w:rsidRPr="00AA317D" w:rsidRDefault="00AA317D" w:rsidP="00AA317D">
            <w:pPr>
              <w:keepNext/>
              <w:keepLines/>
              <w:overflowPunct w:val="0"/>
              <w:autoSpaceDE w:val="0"/>
              <w:autoSpaceDN w:val="0"/>
              <w:adjustRightInd w:val="0"/>
              <w:spacing w:after="0"/>
              <w:textAlignment w:val="baseline"/>
              <w:rPr>
                <w:rFonts w:ascii="Arial" w:hAnsi="Arial"/>
                <w:sz w:val="18"/>
                <w:szCs w:val="22"/>
                <w:lang w:eastAsia="sv-SE"/>
              </w:rPr>
            </w:pPr>
            <w:r w:rsidRPr="00AA317D">
              <w:rPr>
                <w:rFonts w:ascii="Arial" w:hAnsi="Arial"/>
                <w:sz w:val="18"/>
                <w:szCs w:val="22"/>
                <w:lang w:eastAsia="sv-SE"/>
              </w:rPr>
              <w:t xml:space="preserve">If set to true, the UE shall report a PHR type 2 for the SpCell of the other MAC entity. See TS 38.321 [3], clause 5.4.6. Network sets this field to </w:t>
            </w:r>
            <w:r w:rsidRPr="00AA317D">
              <w:rPr>
                <w:rFonts w:ascii="Arial" w:hAnsi="Arial"/>
                <w:i/>
                <w:sz w:val="18"/>
                <w:szCs w:val="22"/>
                <w:lang w:eastAsia="sv-SE"/>
              </w:rPr>
              <w:t>false</w:t>
            </w:r>
            <w:r w:rsidRPr="00AA317D">
              <w:rPr>
                <w:rFonts w:ascii="Arial" w:hAnsi="Arial"/>
                <w:sz w:val="18"/>
                <w:szCs w:val="22"/>
                <w:lang w:eastAsia="sv-SE"/>
              </w:rPr>
              <w:t xml:space="preserve"> if the UE is not configured with an E-UTRA MAC entity.</w:t>
            </w:r>
          </w:p>
        </w:tc>
      </w:tr>
    </w:tbl>
    <w:p w14:paraId="2E5C4B61" w14:textId="77777777" w:rsidR="00AA317D" w:rsidRPr="00AA317D" w:rsidRDefault="00AA317D" w:rsidP="00AA317D">
      <w:pPr>
        <w:overflowPunct w:val="0"/>
        <w:autoSpaceDE w:val="0"/>
        <w:autoSpaceDN w:val="0"/>
        <w:adjustRightInd w:val="0"/>
        <w:textAlignment w:val="baseline"/>
        <w:rPr>
          <w:lang w:eastAsia="ja-JP"/>
        </w:rPr>
      </w:pPr>
    </w:p>
    <w:p w14:paraId="08444991" w14:textId="77777777" w:rsidR="00AA317D" w:rsidRDefault="00AA317D"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AA317D">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6BB02" w14:textId="77777777" w:rsidR="003F27EC" w:rsidRDefault="003F27EC">
      <w:r>
        <w:separator/>
      </w:r>
    </w:p>
  </w:endnote>
  <w:endnote w:type="continuationSeparator" w:id="0">
    <w:p w14:paraId="304E9A35" w14:textId="77777777" w:rsidR="003F27EC" w:rsidRDefault="003F27EC">
      <w:r>
        <w:continuationSeparator/>
      </w:r>
    </w:p>
  </w:endnote>
  <w:endnote w:type="continuationNotice" w:id="1">
    <w:p w14:paraId="63B30D2E" w14:textId="77777777" w:rsidR="003F27EC" w:rsidRDefault="003F2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85D2" w14:textId="77777777" w:rsidR="00E05A61" w:rsidRDefault="00E05A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49E2E" w14:textId="77777777" w:rsidR="00E05A61" w:rsidRDefault="00E05A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F3111" w14:textId="77777777" w:rsidR="00E05A61" w:rsidRDefault="00E05A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21FDF" w14:textId="77777777" w:rsidR="003F27EC" w:rsidRDefault="003F27EC">
      <w:r>
        <w:separator/>
      </w:r>
    </w:p>
  </w:footnote>
  <w:footnote w:type="continuationSeparator" w:id="0">
    <w:p w14:paraId="48306399" w14:textId="77777777" w:rsidR="003F27EC" w:rsidRDefault="003F27EC">
      <w:r>
        <w:continuationSeparator/>
      </w:r>
    </w:p>
  </w:footnote>
  <w:footnote w:type="continuationNotice" w:id="1">
    <w:p w14:paraId="0D479504" w14:textId="77777777" w:rsidR="003F27EC" w:rsidRDefault="003F27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CC437" w14:textId="77777777" w:rsidR="00E05A61" w:rsidRDefault="00E05A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55B35" w14:textId="77777777" w:rsidR="00E05A61" w:rsidRDefault="00E05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9F86A" w14:textId="77777777" w:rsidR="00E05A61" w:rsidRDefault="00E05A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5843B2"/>
    <w:multiLevelType w:val="hybridMultilevel"/>
    <w:tmpl w:val="6E4E0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F217B2"/>
    <w:multiLevelType w:val="hybridMultilevel"/>
    <w:tmpl w:val="2BE8D704"/>
    <w:lvl w:ilvl="0" w:tplc="B022780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C490F67"/>
    <w:multiLevelType w:val="hybridMultilevel"/>
    <w:tmpl w:val="67BAB9E4"/>
    <w:lvl w:ilvl="0" w:tplc="F68C20B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9"/>
  </w:num>
  <w:num w:numId="9">
    <w:abstractNumId w:val="2"/>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69B"/>
    <w:rsid w:val="00023C40"/>
    <w:rsid w:val="00033397"/>
    <w:rsid w:val="00040095"/>
    <w:rsid w:val="00065268"/>
    <w:rsid w:val="00073C9C"/>
    <w:rsid w:val="00080512"/>
    <w:rsid w:val="00090468"/>
    <w:rsid w:val="0009415B"/>
    <w:rsid w:val="00094568"/>
    <w:rsid w:val="00095DA8"/>
    <w:rsid w:val="000B7BCF"/>
    <w:rsid w:val="000C522B"/>
    <w:rsid w:val="000D58AB"/>
    <w:rsid w:val="00112F1A"/>
    <w:rsid w:val="00145075"/>
    <w:rsid w:val="001741A0"/>
    <w:rsid w:val="00175FA0"/>
    <w:rsid w:val="00194CD0"/>
    <w:rsid w:val="001B49C9"/>
    <w:rsid w:val="001C23F4"/>
    <w:rsid w:val="001C4F79"/>
    <w:rsid w:val="001D0CBA"/>
    <w:rsid w:val="001D41C0"/>
    <w:rsid w:val="001E64BA"/>
    <w:rsid w:val="001F032D"/>
    <w:rsid w:val="001F0CB6"/>
    <w:rsid w:val="001F168B"/>
    <w:rsid w:val="001F7831"/>
    <w:rsid w:val="00204045"/>
    <w:rsid w:val="0020712B"/>
    <w:rsid w:val="0021427B"/>
    <w:rsid w:val="0022147F"/>
    <w:rsid w:val="0022606D"/>
    <w:rsid w:val="00231728"/>
    <w:rsid w:val="00240CD0"/>
    <w:rsid w:val="00244A05"/>
    <w:rsid w:val="00250404"/>
    <w:rsid w:val="002610D8"/>
    <w:rsid w:val="00266F3B"/>
    <w:rsid w:val="00267F6D"/>
    <w:rsid w:val="002747EC"/>
    <w:rsid w:val="002855BF"/>
    <w:rsid w:val="00295794"/>
    <w:rsid w:val="00296F50"/>
    <w:rsid w:val="002C16F1"/>
    <w:rsid w:val="002F0D22"/>
    <w:rsid w:val="00310019"/>
    <w:rsid w:val="00311B17"/>
    <w:rsid w:val="00313E8B"/>
    <w:rsid w:val="003172DC"/>
    <w:rsid w:val="00323CD2"/>
    <w:rsid w:val="00325AE3"/>
    <w:rsid w:val="00326069"/>
    <w:rsid w:val="00335DAD"/>
    <w:rsid w:val="0035462D"/>
    <w:rsid w:val="00355BEE"/>
    <w:rsid w:val="003618FC"/>
    <w:rsid w:val="0036459E"/>
    <w:rsid w:val="00364B41"/>
    <w:rsid w:val="00366150"/>
    <w:rsid w:val="00382471"/>
    <w:rsid w:val="00383096"/>
    <w:rsid w:val="0039346C"/>
    <w:rsid w:val="00396E97"/>
    <w:rsid w:val="003A41EF"/>
    <w:rsid w:val="003B40AD"/>
    <w:rsid w:val="003B53E9"/>
    <w:rsid w:val="003C4E37"/>
    <w:rsid w:val="003D4109"/>
    <w:rsid w:val="003D412A"/>
    <w:rsid w:val="003E16BE"/>
    <w:rsid w:val="003F27EC"/>
    <w:rsid w:val="003F4E28"/>
    <w:rsid w:val="004006E8"/>
    <w:rsid w:val="00401855"/>
    <w:rsid w:val="00412347"/>
    <w:rsid w:val="00425328"/>
    <w:rsid w:val="00452F33"/>
    <w:rsid w:val="00465587"/>
    <w:rsid w:val="00477455"/>
    <w:rsid w:val="004A1F7B"/>
    <w:rsid w:val="004A274F"/>
    <w:rsid w:val="004A7991"/>
    <w:rsid w:val="004C44D2"/>
    <w:rsid w:val="004D096C"/>
    <w:rsid w:val="004D3578"/>
    <w:rsid w:val="004D380D"/>
    <w:rsid w:val="004E213A"/>
    <w:rsid w:val="004F4540"/>
    <w:rsid w:val="004F73A7"/>
    <w:rsid w:val="00503171"/>
    <w:rsid w:val="00505034"/>
    <w:rsid w:val="005057C6"/>
    <w:rsid w:val="00506C28"/>
    <w:rsid w:val="00512884"/>
    <w:rsid w:val="00534DA0"/>
    <w:rsid w:val="00543E6C"/>
    <w:rsid w:val="00554CA5"/>
    <w:rsid w:val="00565087"/>
    <w:rsid w:val="0056573F"/>
    <w:rsid w:val="00571279"/>
    <w:rsid w:val="00576249"/>
    <w:rsid w:val="005A48B6"/>
    <w:rsid w:val="005A49C6"/>
    <w:rsid w:val="005C6B0E"/>
    <w:rsid w:val="005C7CD5"/>
    <w:rsid w:val="00610BB4"/>
    <w:rsid w:val="00611566"/>
    <w:rsid w:val="00642D61"/>
    <w:rsid w:val="00646D99"/>
    <w:rsid w:val="00653FCA"/>
    <w:rsid w:val="00656910"/>
    <w:rsid w:val="006574C0"/>
    <w:rsid w:val="00696821"/>
    <w:rsid w:val="006C66D8"/>
    <w:rsid w:val="006D1E24"/>
    <w:rsid w:val="006D35DE"/>
    <w:rsid w:val="006E1057"/>
    <w:rsid w:val="006E1417"/>
    <w:rsid w:val="006F6A2C"/>
    <w:rsid w:val="007069DC"/>
    <w:rsid w:val="00710201"/>
    <w:rsid w:val="0072073A"/>
    <w:rsid w:val="0072473B"/>
    <w:rsid w:val="00726787"/>
    <w:rsid w:val="007342B5"/>
    <w:rsid w:val="00734A5B"/>
    <w:rsid w:val="00737582"/>
    <w:rsid w:val="00744E76"/>
    <w:rsid w:val="0074550E"/>
    <w:rsid w:val="00757D40"/>
    <w:rsid w:val="007662B5"/>
    <w:rsid w:val="00770F7F"/>
    <w:rsid w:val="00781F0F"/>
    <w:rsid w:val="00784B97"/>
    <w:rsid w:val="0078727C"/>
    <w:rsid w:val="0079049D"/>
    <w:rsid w:val="00793DC5"/>
    <w:rsid w:val="00796823"/>
    <w:rsid w:val="007A2E55"/>
    <w:rsid w:val="007B18D8"/>
    <w:rsid w:val="007C095F"/>
    <w:rsid w:val="007C2DD0"/>
    <w:rsid w:val="007D5B02"/>
    <w:rsid w:val="007F2E08"/>
    <w:rsid w:val="008014DD"/>
    <w:rsid w:val="008028A4"/>
    <w:rsid w:val="00804DD2"/>
    <w:rsid w:val="00813245"/>
    <w:rsid w:val="00833158"/>
    <w:rsid w:val="00840DE0"/>
    <w:rsid w:val="00856559"/>
    <w:rsid w:val="008607A8"/>
    <w:rsid w:val="0086354A"/>
    <w:rsid w:val="008768CA"/>
    <w:rsid w:val="00877EF9"/>
    <w:rsid w:val="00880559"/>
    <w:rsid w:val="008B5306"/>
    <w:rsid w:val="008C2E2A"/>
    <w:rsid w:val="008C3057"/>
    <w:rsid w:val="008C6E0E"/>
    <w:rsid w:val="008D2E4D"/>
    <w:rsid w:val="008E0E24"/>
    <w:rsid w:val="008E1F6D"/>
    <w:rsid w:val="008F396F"/>
    <w:rsid w:val="008F3DCD"/>
    <w:rsid w:val="0090271F"/>
    <w:rsid w:val="00902DB9"/>
    <w:rsid w:val="0090466A"/>
    <w:rsid w:val="00914644"/>
    <w:rsid w:val="00915124"/>
    <w:rsid w:val="00923655"/>
    <w:rsid w:val="00935AF5"/>
    <w:rsid w:val="00936071"/>
    <w:rsid w:val="009376CD"/>
    <w:rsid w:val="00940212"/>
    <w:rsid w:val="00942EC2"/>
    <w:rsid w:val="00945F63"/>
    <w:rsid w:val="00961B32"/>
    <w:rsid w:val="00962509"/>
    <w:rsid w:val="00970DB3"/>
    <w:rsid w:val="00974BB0"/>
    <w:rsid w:val="00975927"/>
    <w:rsid w:val="00975BCD"/>
    <w:rsid w:val="009928A9"/>
    <w:rsid w:val="009A0AF3"/>
    <w:rsid w:val="009A14E0"/>
    <w:rsid w:val="009B07CD"/>
    <w:rsid w:val="009C19E9"/>
    <w:rsid w:val="009D078B"/>
    <w:rsid w:val="009D74A6"/>
    <w:rsid w:val="009E0E87"/>
    <w:rsid w:val="009E1A0C"/>
    <w:rsid w:val="009E6D06"/>
    <w:rsid w:val="00A019A4"/>
    <w:rsid w:val="00A10F02"/>
    <w:rsid w:val="00A14458"/>
    <w:rsid w:val="00A204CA"/>
    <w:rsid w:val="00A209D6"/>
    <w:rsid w:val="00A22738"/>
    <w:rsid w:val="00A36F5F"/>
    <w:rsid w:val="00A430EC"/>
    <w:rsid w:val="00A43F69"/>
    <w:rsid w:val="00A53724"/>
    <w:rsid w:val="00A54B2B"/>
    <w:rsid w:val="00A80496"/>
    <w:rsid w:val="00A82346"/>
    <w:rsid w:val="00A9671C"/>
    <w:rsid w:val="00AA1553"/>
    <w:rsid w:val="00AA317D"/>
    <w:rsid w:val="00AD5A4C"/>
    <w:rsid w:val="00B05380"/>
    <w:rsid w:val="00B05962"/>
    <w:rsid w:val="00B15449"/>
    <w:rsid w:val="00B16C2F"/>
    <w:rsid w:val="00B27303"/>
    <w:rsid w:val="00B47FD1"/>
    <w:rsid w:val="00B516BB"/>
    <w:rsid w:val="00B60AA8"/>
    <w:rsid w:val="00B7538C"/>
    <w:rsid w:val="00B7645C"/>
    <w:rsid w:val="00B84DB2"/>
    <w:rsid w:val="00B954A9"/>
    <w:rsid w:val="00BA7FB1"/>
    <w:rsid w:val="00BB36AF"/>
    <w:rsid w:val="00BC0536"/>
    <w:rsid w:val="00BC3555"/>
    <w:rsid w:val="00C12B51"/>
    <w:rsid w:val="00C24650"/>
    <w:rsid w:val="00C25465"/>
    <w:rsid w:val="00C33079"/>
    <w:rsid w:val="00C53987"/>
    <w:rsid w:val="00C55A12"/>
    <w:rsid w:val="00C6553E"/>
    <w:rsid w:val="00C83A13"/>
    <w:rsid w:val="00C86F10"/>
    <w:rsid w:val="00C9068C"/>
    <w:rsid w:val="00C92967"/>
    <w:rsid w:val="00C92EDC"/>
    <w:rsid w:val="00CA3D0C"/>
    <w:rsid w:val="00CA654B"/>
    <w:rsid w:val="00CB6E80"/>
    <w:rsid w:val="00CB72B8"/>
    <w:rsid w:val="00CD0BA8"/>
    <w:rsid w:val="00CD4C7B"/>
    <w:rsid w:val="00CD5754"/>
    <w:rsid w:val="00CD58FE"/>
    <w:rsid w:val="00D31FA8"/>
    <w:rsid w:val="00D32E67"/>
    <w:rsid w:val="00D33BE3"/>
    <w:rsid w:val="00D3792D"/>
    <w:rsid w:val="00D55E47"/>
    <w:rsid w:val="00D62E19"/>
    <w:rsid w:val="00D67CD1"/>
    <w:rsid w:val="00D67F78"/>
    <w:rsid w:val="00D70749"/>
    <w:rsid w:val="00D7088C"/>
    <w:rsid w:val="00D738D6"/>
    <w:rsid w:val="00D80752"/>
    <w:rsid w:val="00D80795"/>
    <w:rsid w:val="00D854BE"/>
    <w:rsid w:val="00D87E00"/>
    <w:rsid w:val="00D9134D"/>
    <w:rsid w:val="00D92E6A"/>
    <w:rsid w:val="00D96D11"/>
    <w:rsid w:val="00DA7A03"/>
    <w:rsid w:val="00DB0DB8"/>
    <w:rsid w:val="00DB1818"/>
    <w:rsid w:val="00DB4436"/>
    <w:rsid w:val="00DC309B"/>
    <w:rsid w:val="00DC4DA2"/>
    <w:rsid w:val="00DC5261"/>
    <w:rsid w:val="00DD0482"/>
    <w:rsid w:val="00DD7E63"/>
    <w:rsid w:val="00DE25D2"/>
    <w:rsid w:val="00DF656F"/>
    <w:rsid w:val="00E05A61"/>
    <w:rsid w:val="00E136A4"/>
    <w:rsid w:val="00E31093"/>
    <w:rsid w:val="00E36C5B"/>
    <w:rsid w:val="00E46C08"/>
    <w:rsid w:val="00E471CF"/>
    <w:rsid w:val="00E62835"/>
    <w:rsid w:val="00E77645"/>
    <w:rsid w:val="00E83697"/>
    <w:rsid w:val="00E859B6"/>
    <w:rsid w:val="00E86513"/>
    <w:rsid w:val="00E973FD"/>
    <w:rsid w:val="00EA37FB"/>
    <w:rsid w:val="00EA66C9"/>
    <w:rsid w:val="00EC4A25"/>
    <w:rsid w:val="00ED0C64"/>
    <w:rsid w:val="00EF612C"/>
    <w:rsid w:val="00EF7230"/>
    <w:rsid w:val="00F025A2"/>
    <w:rsid w:val="00F036E9"/>
    <w:rsid w:val="00F048B9"/>
    <w:rsid w:val="00F07388"/>
    <w:rsid w:val="00F2026E"/>
    <w:rsid w:val="00F2210A"/>
    <w:rsid w:val="00F31372"/>
    <w:rsid w:val="00F37743"/>
    <w:rsid w:val="00F404AB"/>
    <w:rsid w:val="00F54A3D"/>
    <w:rsid w:val="00F54CB0"/>
    <w:rsid w:val="00F579CD"/>
    <w:rsid w:val="00F653B8"/>
    <w:rsid w:val="00F71B89"/>
    <w:rsid w:val="00F7353C"/>
    <w:rsid w:val="00F76F8F"/>
    <w:rsid w:val="00F941DF"/>
    <w:rsid w:val="00FA1266"/>
    <w:rsid w:val="00FB36FA"/>
    <w:rsid w:val="00FC1192"/>
    <w:rsid w:val="00FD3814"/>
    <w:rsid w:val="00FE106D"/>
    <w:rsid w:val="00FE251B"/>
    <w:rsid w:val="00FF2A70"/>
    <w:rsid w:val="00FF3481"/>
    <w:rsid w:val="0190D3D2"/>
    <w:rsid w:val="169B0AFE"/>
    <w:rsid w:val="20EA7C52"/>
    <w:rsid w:val="36985712"/>
    <w:rsid w:val="373D74E8"/>
    <w:rsid w:val="413B7C40"/>
    <w:rsid w:val="47657D99"/>
    <w:rsid w:val="4A278B7D"/>
    <w:rsid w:val="52A3FA5B"/>
    <w:rsid w:val="707D7357"/>
    <w:rsid w:val="763E009C"/>
    <w:rsid w:val="7AAA97AC"/>
    <w:rsid w:val="7D5A43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qFormat/>
    <w:rsid w:val="00AA317D"/>
    <w:rPr>
      <w:sz w:val="16"/>
      <w:szCs w:val="16"/>
    </w:rPr>
  </w:style>
  <w:style w:type="paragraph" w:styleId="CommentText">
    <w:name w:val="annotation text"/>
    <w:basedOn w:val="Normal"/>
    <w:link w:val="CommentTextChar"/>
    <w:uiPriority w:val="99"/>
    <w:qFormat/>
    <w:rsid w:val="00AA317D"/>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AA317D"/>
    <w:rPr>
      <w:lang w:eastAsia="ja-JP"/>
    </w:rPr>
  </w:style>
  <w:style w:type="paragraph" w:customStyle="1" w:styleId="Agreement">
    <w:name w:val="Agreement"/>
    <w:basedOn w:val="Normal"/>
    <w:next w:val="Normal"/>
    <w:uiPriority w:val="99"/>
    <w:qFormat/>
    <w:rsid w:val="00AA317D"/>
    <w:pPr>
      <w:numPr>
        <w:numId w:val="8"/>
      </w:numPr>
      <w:tabs>
        <w:tab w:val="clear" w:pos="6930"/>
        <w:tab w:val="left" w:pos="1620"/>
      </w:tabs>
      <w:spacing w:before="60" w:after="0" w:line="259" w:lineRule="auto"/>
      <w:ind w:left="1620"/>
      <w:jc w:val="both"/>
    </w:pPr>
    <w:rPr>
      <w:rFonts w:ascii="Arial" w:eastAsia="MS Mincho" w:hAnsi="Arial"/>
      <w:b/>
      <w:szCs w:val="24"/>
      <w:lang w:eastAsia="en-GB"/>
    </w:rPr>
  </w:style>
  <w:style w:type="character" w:styleId="PageNumber">
    <w:name w:val="page number"/>
    <w:basedOn w:val="DefaultParagraphFont"/>
    <w:rsid w:val="00AA317D"/>
  </w:style>
  <w:style w:type="paragraph" w:styleId="ListParagraph">
    <w:name w:val="List Paragraph"/>
    <w:basedOn w:val="Normal"/>
    <w:uiPriority w:val="34"/>
    <w:qFormat/>
    <w:rsid w:val="00DD0482"/>
    <w:pPr>
      <w:ind w:left="720"/>
      <w:contextualSpacing/>
    </w:pPr>
  </w:style>
  <w:style w:type="character" w:customStyle="1" w:styleId="PLChar">
    <w:name w:val="PL Char"/>
    <w:link w:val="PL"/>
    <w:qFormat/>
    <w:rsid w:val="00D32E67"/>
    <w:rPr>
      <w:rFonts w:ascii="Courier New" w:hAnsi="Courier New"/>
      <w:noProof/>
      <w:sz w:val="16"/>
      <w:lang w:eastAsia="en-US"/>
    </w:rPr>
  </w:style>
  <w:style w:type="table" w:styleId="TableGrid">
    <w:name w:val="Table Grid"/>
    <w:basedOn w:val="TableNormal"/>
    <w:rsid w:val="00D70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7088C"/>
    <w:rPr>
      <w:rFonts w:ascii="Arial" w:hAnsi="Arial"/>
      <w:b/>
      <w:lang w:eastAsia="en-US"/>
    </w:rPr>
  </w:style>
  <w:style w:type="character" w:customStyle="1" w:styleId="TACChar">
    <w:name w:val="TAC Char"/>
    <w:link w:val="TAC"/>
    <w:qFormat/>
    <w:rsid w:val="00D7088C"/>
    <w:rPr>
      <w:rFonts w:ascii="Arial" w:hAnsi="Arial"/>
      <w:sz w:val="18"/>
      <w:lang w:eastAsia="en-US"/>
    </w:rPr>
  </w:style>
  <w:style w:type="character" w:customStyle="1" w:styleId="TAHCar">
    <w:name w:val="TAH Car"/>
    <w:link w:val="TAH"/>
    <w:qFormat/>
    <w:rsid w:val="00D7088C"/>
    <w:rPr>
      <w:rFonts w:ascii="Arial" w:hAnsi="Arial"/>
      <w:b/>
      <w:sz w:val="18"/>
      <w:lang w:eastAsia="en-US"/>
    </w:rPr>
  </w:style>
  <w:style w:type="paragraph" w:styleId="Caption">
    <w:name w:val="caption"/>
    <w:basedOn w:val="Normal"/>
    <w:next w:val="Normal"/>
    <w:unhideWhenUsed/>
    <w:qFormat/>
    <w:rsid w:val="00576249"/>
    <w:pPr>
      <w:spacing w:after="200"/>
    </w:pPr>
    <w:rPr>
      <w:i/>
      <w:iCs/>
      <w:color w:val="44546A" w:themeColor="text2"/>
      <w:sz w:val="18"/>
      <w:szCs w:val="18"/>
    </w:rPr>
  </w:style>
  <w:style w:type="paragraph" w:styleId="CommentSubject">
    <w:name w:val="annotation subject"/>
    <w:basedOn w:val="CommentText"/>
    <w:next w:val="CommentText"/>
    <w:link w:val="CommentSubjectChar"/>
    <w:rsid w:val="001D0CB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1D0CB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8642491">
      <w:bodyDiv w:val="1"/>
      <w:marLeft w:val="0"/>
      <w:marRight w:val="0"/>
      <w:marTop w:val="0"/>
      <w:marBottom w:val="0"/>
      <w:divBdr>
        <w:top w:val="none" w:sz="0" w:space="0" w:color="auto"/>
        <w:left w:val="none" w:sz="0" w:space="0" w:color="auto"/>
        <w:bottom w:val="none" w:sz="0" w:space="0" w:color="auto"/>
        <w:right w:val="none" w:sz="0" w:space="0" w:color="auto"/>
      </w:divBdr>
    </w:div>
    <w:div w:id="541092110">
      <w:bodyDiv w:val="1"/>
      <w:marLeft w:val="0"/>
      <w:marRight w:val="0"/>
      <w:marTop w:val="0"/>
      <w:marBottom w:val="0"/>
      <w:divBdr>
        <w:top w:val="none" w:sz="0" w:space="0" w:color="auto"/>
        <w:left w:val="none" w:sz="0" w:space="0" w:color="auto"/>
        <w:bottom w:val="none" w:sz="0" w:space="0" w:color="auto"/>
        <w:right w:val="none" w:sz="0" w:space="0" w:color="auto"/>
      </w:divBdr>
    </w:div>
    <w:div w:id="576869046">
      <w:bodyDiv w:val="1"/>
      <w:marLeft w:val="0"/>
      <w:marRight w:val="0"/>
      <w:marTop w:val="0"/>
      <w:marBottom w:val="0"/>
      <w:divBdr>
        <w:top w:val="none" w:sz="0" w:space="0" w:color="auto"/>
        <w:left w:val="none" w:sz="0" w:space="0" w:color="auto"/>
        <w:bottom w:val="none" w:sz="0" w:space="0" w:color="auto"/>
        <w:right w:val="none" w:sz="0" w:space="0" w:color="auto"/>
      </w:divBdr>
    </w:div>
    <w:div w:id="8595894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2762182">
      <w:bodyDiv w:val="1"/>
      <w:marLeft w:val="0"/>
      <w:marRight w:val="0"/>
      <w:marTop w:val="0"/>
      <w:marBottom w:val="0"/>
      <w:divBdr>
        <w:top w:val="none" w:sz="0" w:space="0" w:color="auto"/>
        <w:left w:val="none" w:sz="0" w:space="0" w:color="auto"/>
        <w:bottom w:val="none" w:sz="0" w:space="0" w:color="auto"/>
        <w:right w:val="none" w:sz="0" w:space="0" w:color="auto"/>
      </w:divBdr>
    </w:div>
    <w:div w:id="119742609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6596585">
      <w:bodyDiv w:val="1"/>
      <w:marLeft w:val="0"/>
      <w:marRight w:val="0"/>
      <w:marTop w:val="0"/>
      <w:marBottom w:val="0"/>
      <w:divBdr>
        <w:top w:val="none" w:sz="0" w:space="0" w:color="auto"/>
        <w:left w:val="none" w:sz="0" w:space="0" w:color="auto"/>
        <w:bottom w:val="none" w:sz="0" w:space="0" w:color="auto"/>
        <w:right w:val="none" w:sz="0" w:space="0" w:color="auto"/>
      </w:divBdr>
    </w:div>
    <w:div w:id="1403942236">
      <w:bodyDiv w:val="1"/>
      <w:marLeft w:val="0"/>
      <w:marRight w:val="0"/>
      <w:marTop w:val="0"/>
      <w:marBottom w:val="0"/>
      <w:divBdr>
        <w:top w:val="none" w:sz="0" w:space="0" w:color="auto"/>
        <w:left w:val="none" w:sz="0" w:space="0" w:color="auto"/>
        <w:bottom w:val="none" w:sz="0" w:space="0" w:color="auto"/>
        <w:right w:val="none" w:sz="0" w:space="0" w:color="auto"/>
      </w:divBdr>
    </w:div>
    <w:div w:id="1725832840">
      <w:bodyDiv w:val="1"/>
      <w:marLeft w:val="0"/>
      <w:marRight w:val="0"/>
      <w:marTop w:val="0"/>
      <w:marBottom w:val="0"/>
      <w:divBdr>
        <w:top w:val="none" w:sz="0" w:space="0" w:color="auto"/>
        <w:left w:val="none" w:sz="0" w:space="0" w:color="auto"/>
        <w:bottom w:val="none" w:sz="0" w:space="0" w:color="auto"/>
        <w:right w:val="none" w:sz="0" w:space="0" w:color="auto"/>
      </w:divBdr>
    </w:div>
    <w:div w:id="212087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6bis-e/Docs/R2-2200016.zip" TargetMode="External"/><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hyperlink" Target="https://www.3gpp.org/ftp/TSG_RAN/WG2_RL2/TSGR2_116bis-e/Docs/R2-2200016.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hyperlink" Target="https://www.3gpp.org/ftp/TSG_RAN/WG2_RL2/TSGR2_116bis-e/Docs/R2-2200016.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https://www.3gpp.org/ftp/TSG_RAN/WG2_RL2/TSGR2_116bis-e/Docs/R2-2200016.zip"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hyperlink" Target="https://www.3gpp.org/ftp/TSG_RAN/WG2_RL2/TSGR2_116bis-e/Docs/R2-2200016.zip"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5AIRPNAIUNRU-859666464-10420</_dlc_DocId>
    <_dlc_DocIdUrl xmlns="71c5aaf6-e6ce-465b-b873-5148d2a4c105">
      <Url>https://nokia.sharepoint.com/sites/c5g/e2earch/_layouts/15/DocIdRedir.aspx?ID=5AIRPNAIUNRU-859666464-10420</Url>
      <Description>5AIRPNAIUNRU-859666464-10420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D1645DF-FBAB-4589-838E-10351CE9586D}">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2952</Words>
  <Characters>16827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19740</CharactersWithSpaces>
  <SharedDoc>false</SharedDoc>
  <HyperlinkBase/>
  <HLinks>
    <vt:vector size="30" baseType="variant">
      <vt:variant>
        <vt:i4>3211341</vt:i4>
      </vt:variant>
      <vt:variant>
        <vt:i4>57</vt:i4>
      </vt:variant>
      <vt:variant>
        <vt:i4>0</vt:i4>
      </vt:variant>
      <vt:variant>
        <vt:i4>5</vt:i4>
      </vt:variant>
      <vt:variant>
        <vt:lpwstr>https://www.3gpp.org/ftp/TSG_RAN/WG2_RL2/TSGR2_116bis-e/Docs/R2-2200016.zip</vt:lpwstr>
      </vt:variant>
      <vt:variant>
        <vt:lpwstr/>
      </vt:variant>
      <vt:variant>
        <vt:i4>3211341</vt:i4>
      </vt:variant>
      <vt:variant>
        <vt:i4>48</vt:i4>
      </vt:variant>
      <vt:variant>
        <vt:i4>0</vt:i4>
      </vt:variant>
      <vt:variant>
        <vt:i4>5</vt:i4>
      </vt:variant>
      <vt:variant>
        <vt:lpwstr>https://www.3gpp.org/ftp/TSG_RAN/WG2_RL2/TSGR2_116bis-e/Docs/R2-2200016.zip</vt:lpwstr>
      </vt:variant>
      <vt:variant>
        <vt:lpwstr/>
      </vt:variant>
      <vt:variant>
        <vt:i4>3211341</vt:i4>
      </vt:variant>
      <vt:variant>
        <vt:i4>21</vt:i4>
      </vt:variant>
      <vt:variant>
        <vt:i4>0</vt:i4>
      </vt:variant>
      <vt:variant>
        <vt:i4>5</vt:i4>
      </vt:variant>
      <vt:variant>
        <vt:lpwstr>https://www.3gpp.org/ftp/TSG_RAN/WG2_RL2/TSGR2_116bis-e/Docs/R2-2200016.zip</vt:lpwstr>
      </vt:variant>
      <vt:variant>
        <vt:lpwstr/>
      </vt:variant>
      <vt:variant>
        <vt:i4>3211341</vt:i4>
      </vt:variant>
      <vt:variant>
        <vt:i4>18</vt:i4>
      </vt:variant>
      <vt:variant>
        <vt:i4>0</vt:i4>
      </vt:variant>
      <vt:variant>
        <vt:i4>5</vt:i4>
      </vt:variant>
      <vt:variant>
        <vt:lpwstr>https://www.3gpp.org/ftp/TSG_RAN/WG2_RL2/TSGR2_116bis-e/Docs/R2-2200016.zip</vt:lpwstr>
      </vt:variant>
      <vt:variant>
        <vt:lpwstr/>
      </vt:variant>
      <vt:variant>
        <vt:i4>3211341</vt:i4>
      </vt:variant>
      <vt:variant>
        <vt:i4>0</vt:i4>
      </vt:variant>
      <vt:variant>
        <vt:i4>0</vt:i4>
      </vt:variant>
      <vt:variant>
        <vt:i4>5</vt:i4>
      </vt:variant>
      <vt:variant>
        <vt:lpwstr>https://www.3gpp.org/ftp/TSG_RAN/WG2_RL2/TSGR2_116bis-e/Docs/R2-2200016.zip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6</cp:revision>
  <dcterms:created xsi:type="dcterms:W3CDTF">2022-01-11T10:56:00Z</dcterms:created>
  <dcterms:modified xsi:type="dcterms:W3CDTF">2022-01-11T11:30:00Z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c239754c-7759-45c5-b625-c788f3ada59a</vt:lpwstr>
  </property>
</Properties>
</file>